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7764B5" w:rsidR="007C0642" w:rsidRPr="00E34CB7"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34CB7">
        <w:rPr>
          <w:rFonts w:ascii="Times New Roman" w:eastAsia="Times New Roman" w:hAnsi="Times New Roman"/>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52C7B8"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B75B4" w:rsidRPr="00406CC0">
        <w:rPr>
          <w:rFonts w:ascii="Times New Roman" w:eastAsia="Times New Roman" w:hAnsi="Times New Roman"/>
          <w:highlight w:val="yellow"/>
          <w:lang w:eastAsia="cs-CZ"/>
        </w:rPr>
        <w:t>statutárnízástupce</w:t>
      </w:r>
    </w:p>
    <w:p w14:paraId="22D9EDBB"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bankovní spojení:</w:t>
      </w:r>
      <w:r w:rsidRPr="00D4003A">
        <w:rPr>
          <w:rFonts w:ascii="Times New Roman" w:eastAsia="Times New Roman" w:hAnsi="Times New Roman"/>
          <w:lang w:eastAsia="cs-CZ"/>
        </w:rPr>
        <w:tab/>
        <w:t>Komerční banka, a.s.</w:t>
      </w:r>
    </w:p>
    <w:p w14:paraId="1D81E179"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číslo účtu:</w:t>
      </w:r>
      <w:r w:rsidRPr="00D4003A">
        <w:rPr>
          <w:rFonts w:ascii="Times New Roman" w:eastAsia="Times New Roman" w:hAnsi="Times New Roman"/>
          <w:lang w:eastAsia="cs-CZ"/>
        </w:rPr>
        <w:tab/>
      </w:r>
      <w:r w:rsidRPr="00D4003A">
        <w:rPr>
          <w:rFonts w:ascii="Times New Roman" w:eastAsia="Times New Roman" w:hAnsi="Times New Roman"/>
          <w:lang w:eastAsia="cs-CZ"/>
        </w:rPr>
        <w:tab/>
        <w:t>27-5622800267/0100</w:t>
      </w:r>
    </w:p>
    <w:p w14:paraId="1AB39DD3"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bankovní spojení:</w:t>
      </w:r>
      <w:r w:rsidRPr="00D4003A">
        <w:rPr>
          <w:rFonts w:ascii="Times New Roman" w:eastAsia="Times New Roman" w:hAnsi="Times New Roman"/>
          <w:lang w:eastAsia="cs-CZ"/>
        </w:rPr>
        <w:tab/>
        <w:t>Československá obchodní banka, a. s.</w:t>
      </w:r>
    </w:p>
    <w:p w14:paraId="77BA6A56"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číslo účtu:</w:t>
      </w:r>
      <w:r w:rsidRPr="00D4003A">
        <w:rPr>
          <w:rFonts w:ascii="Times New Roman" w:eastAsia="Times New Roman" w:hAnsi="Times New Roman"/>
          <w:lang w:eastAsia="cs-CZ"/>
        </w:rPr>
        <w:tab/>
      </w:r>
      <w:r w:rsidRPr="00D4003A">
        <w:rPr>
          <w:rFonts w:ascii="Times New Roman" w:eastAsia="Times New Roman" w:hAnsi="Times New Roman"/>
          <w:lang w:eastAsia="cs-CZ"/>
        </w:rPr>
        <w:tab/>
        <w:t>197889578/0300</w:t>
      </w:r>
    </w:p>
    <w:p w14:paraId="458E5868"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bankovní spojení:</w:t>
      </w:r>
      <w:r w:rsidRPr="00D4003A">
        <w:rPr>
          <w:rFonts w:ascii="Times New Roman" w:eastAsia="Times New Roman" w:hAnsi="Times New Roman"/>
          <w:lang w:eastAsia="cs-CZ"/>
        </w:rPr>
        <w:tab/>
        <w:t>Česká spořitelna, a. s.</w:t>
      </w:r>
    </w:p>
    <w:p w14:paraId="00E26EAB"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číslo účtu:</w:t>
      </w:r>
      <w:r w:rsidRPr="00D4003A">
        <w:rPr>
          <w:rFonts w:ascii="Times New Roman" w:eastAsia="Times New Roman" w:hAnsi="Times New Roman"/>
          <w:lang w:eastAsia="cs-CZ"/>
        </w:rPr>
        <w:tab/>
      </w:r>
      <w:r w:rsidRPr="00D4003A">
        <w:rPr>
          <w:rFonts w:ascii="Times New Roman" w:eastAsia="Times New Roman" w:hAnsi="Times New Roman"/>
          <w:lang w:eastAsia="cs-CZ"/>
        </w:rPr>
        <w:tab/>
        <w:t>7613272/0800</w:t>
      </w:r>
    </w:p>
    <w:p w14:paraId="09BC4448" w14:textId="77777777" w:rsidR="00D4003A" w:rsidRP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bankovní spojení:</w:t>
      </w:r>
      <w:r w:rsidRPr="00D4003A">
        <w:rPr>
          <w:rFonts w:ascii="Times New Roman" w:eastAsia="Times New Roman" w:hAnsi="Times New Roman"/>
          <w:lang w:eastAsia="cs-CZ"/>
        </w:rPr>
        <w:tab/>
        <w:t>PPF banka a.s.</w:t>
      </w:r>
    </w:p>
    <w:p w14:paraId="2B9D6C5A" w14:textId="77777777" w:rsidR="00D4003A" w:rsidRDefault="00D4003A" w:rsidP="00D4003A">
      <w:pPr>
        <w:spacing w:after="0" w:line="240" w:lineRule="auto"/>
        <w:rPr>
          <w:rFonts w:ascii="Times New Roman" w:eastAsia="Times New Roman" w:hAnsi="Times New Roman"/>
          <w:lang w:eastAsia="cs-CZ"/>
        </w:rPr>
      </w:pPr>
      <w:r w:rsidRPr="00D4003A">
        <w:rPr>
          <w:rFonts w:ascii="Times New Roman" w:eastAsia="Times New Roman" w:hAnsi="Times New Roman"/>
          <w:lang w:eastAsia="cs-CZ"/>
        </w:rPr>
        <w:t>číslo účtu:</w:t>
      </w:r>
      <w:r w:rsidRPr="00D4003A">
        <w:rPr>
          <w:rFonts w:ascii="Times New Roman" w:eastAsia="Times New Roman" w:hAnsi="Times New Roman"/>
          <w:lang w:eastAsia="cs-CZ"/>
        </w:rPr>
        <w:tab/>
      </w:r>
      <w:r w:rsidRPr="00D4003A">
        <w:rPr>
          <w:rFonts w:ascii="Times New Roman" w:eastAsia="Times New Roman" w:hAnsi="Times New Roman"/>
          <w:lang w:eastAsia="cs-CZ"/>
        </w:rPr>
        <w:tab/>
        <w:t>2022990024/6000</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AAFB277"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odbor</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7777777" w:rsidR="00602229" w:rsidRPr="00406CC0" w:rsidRDefault="00910550" w:rsidP="00BE65AC">
      <w:pPr>
        <w:tabs>
          <w:tab w:val="left" w:pos="2127"/>
        </w:tabs>
        <w:spacing w:after="0" w:line="240" w:lineRule="auto"/>
        <w:ind w:left="2127" w:right="-57" w:hanging="2127"/>
        <w:rPr>
          <w:rFonts w:ascii="Times New Roman" w:eastAsia="Times New Roman" w:hAnsi="Times New Roman"/>
          <w:bCs/>
          <w:highlight w:val="yellow"/>
          <w:lang w:eastAsia="cs-CZ"/>
        </w:rPr>
      </w:pPr>
      <w:r w:rsidRPr="00406CC0">
        <w:rPr>
          <w:rFonts w:ascii="Times New Roman" w:eastAsia="Times New Roman" w:hAnsi="Times New Roman"/>
          <w:bCs/>
          <w:highlight w:val="yellow"/>
          <w:lang w:eastAsia="cs-CZ"/>
        </w:rPr>
        <w:t>o</w:t>
      </w:r>
      <w:r w:rsidR="00602229" w:rsidRPr="00406CC0">
        <w:rPr>
          <w:rFonts w:ascii="Times New Roman" w:eastAsia="Times New Roman" w:hAnsi="Times New Roman"/>
          <w:bCs/>
          <w:highlight w:val="yellow"/>
          <w:lang w:eastAsia="cs-CZ"/>
        </w:rPr>
        <w:t>bchodnífirma</w:t>
      </w:r>
    </w:p>
    <w:p w14:paraId="5436B3C8" w14:textId="111A7B7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02229" w:rsidRPr="00406CC0">
        <w:rPr>
          <w:rFonts w:ascii="Times New Roman" w:eastAsia="Times New Roman" w:hAnsi="Times New Roman"/>
          <w:bCs/>
          <w:highlight w:val="yellow"/>
          <w:lang w:eastAsia="cs-CZ"/>
        </w:rPr>
        <w:t>sídlo</w:t>
      </w:r>
    </w:p>
    <w:p w14:paraId="519BECA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IČ</w:t>
      </w:r>
    </w:p>
    <w:p w14:paraId="65D38DB3"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DIČ</w:t>
      </w:r>
    </w:p>
    <w:p w14:paraId="7FEFF898"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právníforma</w:t>
      </w:r>
    </w:p>
    <w:p w14:paraId="3420E6FD"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statutárnízástupce</w:t>
      </w:r>
    </w:p>
    <w:p w14:paraId="6D4A56D8"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57F27BA0"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p>
    <w:p w14:paraId="0C7D9D58" w14:textId="78B25EC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782B5551" w14:textId="7777777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317509CD" w14:textId="77777777" w:rsidR="009D5AFF"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9B04AD6"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AF03BF">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w:t>
      </w:r>
      <w:r w:rsidR="00E518E0">
        <w:rPr>
          <w:rFonts w:ascii="Times New Roman" w:eastAsia="Arial Unicode MS" w:hAnsi="Times New Roman"/>
          <w:lang w:eastAsia="cs-CZ"/>
        </w:rPr>
        <w:t>ní reprezentace kraje</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1A61FCAA" w:rsidR="0014413C" w:rsidRPr="00E518E0" w:rsidRDefault="0014413C" w:rsidP="00BE65AC">
      <w:pPr>
        <w:pStyle w:val="Normlnweb"/>
        <w:numPr>
          <w:ilvl w:val="0"/>
          <w:numId w:val="30"/>
        </w:numPr>
        <w:jc w:val="both"/>
        <w:rPr>
          <w:b/>
          <w:bCs/>
        </w:rPr>
      </w:pPr>
      <w:r w:rsidRPr="00406CC0">
        <w:t>Poskytovatel poskytuje příjemci v</w:t>
      </w:r>
      <w:r w:rsidR="00424DBD" w:rsidRPr="00406CC0">
        <w:t xml:space="preserve"> kalendářním </w:t>
      </w:r>
      <w:r w:rsidRPr="00406CC0">
        <w:t xml:space="preserve">roce </w:t>
      </w:r>
      <w:r w:rsidR="00E34CB7">
        <w:t>2018</w:t>
      </w:r>
      <w:r w:rsidRPr="00406CC0">
        <w:t xml:space="preserve"> dotaci z rozpočtu poskytovatele ve výši </w:t>
      </w:r>
      <w:r w:rsidRPr="00E518E0">
        <w:rPr>
          <w:highlight w:val="yellow"/>
        </w:rPr>
        <w:t>částka</w:t>
      </w:r>
      <w:r w:rsidRPr="00406CC0">
        <w:t xml:space="preserve"> Kč (slovy: </w:t>
      </w:r>
      <w:r w:rsidRPr="00E518E0">
        <w:rPr>
          <w:highlight w:val="yellow"/>
        </w:rPr>
        <w:t>slovy</w:t>
      </w:r>
      <w:r w:rsidRPr="00406CC0">
        <w:t xml:space="preserve"> korun českých) </w:t>
      </w:r>
      <w:r w:rsidRPr="00E518E0">
        <w:rPr>
          <w:iCs/>
          <w:snapToGrid w:val="0"/>
        </w:rPr>
        <w:t xml:space="preserve">na </w:t>
      </w:r>
      <w:r w:rsidRPr="00E518E0">
        <w:rPr>
          <w:highlight w:val="yellow"/>
        </w:rPr>
        <w:t>účel</w:t>
      </w:r>
      <w:r w:rsidRPr="00406CC0">
        <w:t xml:space="preserve"> (dále jen „</w:t>
      </w:r>
      <w:r w:rsidR="00E518E0">
        <w:t>projekt</w:t>
      </w:r>
      <w:r w:rsidRPr="00406CC0">
        <w:t>“).</w:t>
      </w:r>
      <w:r w:rsidR="00406CC0" w:rsidRPr="00406CC0">
        <w:t xml:space="preserve"> </w:t>
      </w:r>
    </w:p>
    <w:p w14:paraId="7201441A" w14:textId="77777777" w:rsidR="005E120E" w:rsidRDefault="005E120E" w:rsidP="00BE65AC">
      <w:pPr>
        <w:spacing w:after="0" w:line="240" w:lineRule="auto"/>
        <w:jc w:val="center"/>
        <w:rPr>
          <w:rFonts w:ascii="Times New Roman" w:eastAsia="Times New Roman" w:hAnsi="Times New Roman"/>
          <w:b/>
          <w:bCs/>
          <w:lang w:eastAsia="cs-CZ"/>
        </w:rPr>
      </w:pPr>
    </w:p>
    <w:p w14:paraId="359E9D78" w14:textId="77777777" w:rsidR="005E120E" w:rsidRDefault="005E120E"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241882BB"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414D20" w:rsidRPr="00406CC0">
        <w:rPr>
          <w:rFonts w:ascii="Times New Roman" w:eastAsia="Arial Unicode MS" w:hAnsi="Times New Roman"/>
          <w:highlight w:val="yellow"/>
          <w:lang w:eastAsia="cs-CZ"/>
        </w:rPr>
        <w:t>počet</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50EB57F9"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E518E0">
        <w:rPr>
          <w:rFonts w:ascii="Times New Roman" w:eastAsia="Arial Unicode MS" w:hAnsi="Times New Roman"/>
          <w:lang w:eastAsia="cs-CZ"/>
        </w:rPr>
        <w:t xml:space="preserve">sportovní reprezentace kraje </w:t>
      </w:r>
      <w:r w:rsidRPr="00406CC0">
        <w:rPr>
          <w:rFonts w:ascii="Times New Roman" w:hAnsi="Times New Roman"/>
          <w:lang w:eastAsia="cs-CZ"/>
        </w:rPr>
        <w:t xml:space="preserve">schválenými Radou/Zastupitelstvem Karlovarského kraje usnesením číslo </w:t>
      </w:r>
      <w:r w:rsidRPr="00406CC0">
        <w:rPr>
          <w:rFonts w:ascii="Times New Roman" w:hAnsi="Times New Roman"/>
          <w:highlight w:val="yellow"/>
          <w:lang w:eastAsia="cs-CZ"/>
        </w:rPr>
        <w:t xml:space="preserve">usnesení </w:t>
      </w:r>
      <w:r w:rsidRPr="00406CC0">
        <w:rPr>
          <w:rFonts w:ascii="Times New Roman" w:hAnsi="Times New Roman"/>
          <w:lang w:eastAsia="cs-CZ"/>
        </w:rPr>
        <w:t xml:space="preserve">ze dne </w:t>
      </w:r>
      <w:r w:rsidRPr="00406CC0">
        <w:rPr>
          <w:rFonts w:ascii="Times New Roman" w:hAnsi="Times New Roman"/>
          <w:highlight w:val="yellow"/>
          <w:lang w:eastAsia="cs-CZ"/>
        </w:rPr>
        <w:t>datum</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62939AC"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7C659B" w:rsidRPr="00406CC0">
        <w:rPr>
          <w:rFonts w:ascii="Times New Roman" w:eastAsia="Arial Unicode MS" w:hAnsi="Times New Roman"/>
          <w:highlight w:val="yellow"/>
          <w:lang w:eastAsia="cs-CZ"/>
        </w:rPr>
        <w:t>podrobnáspecifikaceúčelupoužitídotace</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E56F40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406CC0">
        <w:rPr>
          <w:rFonts w:ascii="Times New Roman" w:eastAsia="Arial Unicode MS" w:hAnsi="Times New Roman"/>
          <w:highlight w:val="yellow"/>
          <w:lang w:eastAsia="cs-CZ"/>
        </w:rPr>
        <w:t>lhůta</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310FA687"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71261C">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690ED600"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t xml:space="preserve">6. </w:t>
      </w:r>
      <w:r>
        <w:rPr>
          <w:rFonts w:ascii="Times New Roman" w:hAnsi="Times New Roman"/>
        </w:rPr>
        <w:tab/>
      </w:r>
      <w:r w:rsidRPr="00064D21">
        <w:rPr>
          <w:rFonts w:ascii="Times New Roman" w:hAnsi="Times New Roman"/>
        </w:rPr>
        <w:t xml:space="preserve">Dotace je neinvestičního charakteru a lze ji použít výhradně k účelu podpory účasti talentovaných sportovců a sportovních výběrů mládeže a reprezentace z Karlovarského kraje na významných národních a mezinárodních sportovních akcích, a to na: </w:t>
      </w:r>
    </w:p>
    <w:p w14:paraId="6B163FB9" w14:textId="77777777" w:rsidR="00064D21" w:rsidRP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4F9792AB" w14:textId="77777777" w:rsidR="00064D21" w:rsidRPr="00064D21"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064D21">
        <w:rPr>
          <w:rFonts w:ascii="Times New Roman" w:hAnsi="Times New Roman"/>
        </w:rPr>
        <w:t>ostatní náklady (startovné, registrace,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5646ECE6"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není plátcem DPH, a z tohoto důvodu nemůže nárokovat a nenárokuje odpočet daně na vstupu dle zákona č</w:t>
      </w:r>
      <w:r w:rsidR="00AF03BF">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79FB06F2"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AF03BF">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24153B3F" w:rsidR="00921426"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14413C" w:rsidRPr="00406CC0">
        <w:rPr>
          <w:rFonts w:ascii="Times New Roman" w:eastAsia="Arial Unicode MS" w:hAnsi="Times New Roman"/>
          <w:highlight w:val="yellow"/>
          <w:lang w:eastAsia="cs-CZ"/>
        </w:rPr>
        <w:t>datum</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w:t>
      </w:r>
      <w:r>
        <w:rPr>
          <w:rFonts w:ascii="Times New Roman" w:eastAsia="Arial Unicode MS" w:hAnsi="Times New Roman"/>
          <w:lang w:eastAsia="cs-CZ"/>
        </w:rPr>
        <w:lastRenderedPageBreak/>
        <w:t xml:space="preserve">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Dotace </w:t>
      </w:r>
      <w:hyperlink r:id="rId11"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7124A553" w14:textId="77777777" w:rsidR="00E518E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Příjemce je povinen zveřejnit vhodným způsobem, že na projekt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E518E0">
        <w:rPr>
          <w:rFonts w:ascii="Times New Roman" w:eastAsia="Arial Unicode MS" w:hAnsi="Times New Roman"/>
          <w:lang w:eastAsia="cs-CZ"/>
        </w:rPr>
        <w:t>lovarského kraje „Živý kraj“, a </w:t>
      </w:r>
    </w:p>
    <w:p w14:paraId="05986406" w14:textId="58E67399" w:rsidR="00A8376E" w:rsidRPr="00406CC0" w:rsidRDefault="00064D21"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sidR="00D06889">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6C4C3C39"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2E97E7F4"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12. </w:t>
      </w:r>
      <w:r w:rsidR="00AF03BF">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7C611949"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006266EF"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14AA50C3"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AF03BF">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0CEE10B8"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E518E0">
        <w:rPr>
          <w:rFonts w:ascii="Times New Roman" w:hAnsi="Times New Roman"/>
        </w:rPr>
        <w:t>projektu</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64E90980"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AF03BF">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lastRenderedPageBreak/>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2E46787D"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AF03BF">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38E2423B" w:rsidR="00BE65AC" w:rsidRPr="00406CC0" w:rsidRDefault="00AF03BF" w:rsidP="00A9759E">
      <w:pPr>
        <w:numPr>
          <w:ilvl w:val="0"/>
          <w:numId w:val="27"/>
        </w:numPr>
        <w:tabs>
          <w:tab w:val="num" w:pos="426"/>
        </w:tabs>
        <w:spacing w:after="0" w:line="240" w:lineRule="auto"/>
        <w:ind w:left="426" w:hanging="426"/>
        <w:jc w:val="both"/>
        <w:rPr>
          <w:rFonts w:ascii="Times New Roman" w:hAnsi="Times New Roman"/>
        </w:rPr>
      </w:pPr>
      <w:r>
        <w:rPr>
          <w:rFonts w:ascii="Times New Roman" w:hAnsi="Times New Roman"/>
        </w:rPr>
        <w:t xml:space="preserve"> </w:t>
      </w:r>
      <w:r w:rsidR="00BE65AC"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00BE65AC"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w:t>
      </w:r>
      <w:r w:rsidR="00BE65AC" w:rsidRPr="00406CC0">
        <w:rPr>
          <w:rFonts w:ascii="Times New Roman" w:hAnsi="Times New Roman"/>
        </w:rPr>
        <w:lastRenderedPageBreak/>
        <w:t>přímo aplikovatelného právního předpisu</w:t>
      </w:r>
      <w:r w:rsidR="00BE65AC" w:rsidRPr="00406CC0">
        <w:rPr>
          <w:rStyle w:val="Znakapoznpodarou"/>
          <w:rFonts w:ascii="Times New Roman" w:hAnsi="Times New Roman"/>
        </w:rPr>
        <w:footnoteReference w:id="1"/>
      </w:r>
      <w:r w:rsidR="00BE65AC" w:rsidRPr="00406CC0">
        <w:rPr>
          <w:rFonts w:ascii="Times New Roman" w:hAnsi="Times New Roman"/>
        </w:rPr>
        <w:t xml:space="preserve"> buď o vrácení podpory, prozatímním navrácení podpory nebo o pozastavení podpory.</w:t>
      </w:r>
    </w:p>
    <w:p w14:paraId="1BED93D2" w14:textId="77777777" w:rsidR="00064D21" w:rsidRDefault="00064D21" w:rsidP="00BE65AC">
      <w:pPr>
        <w:spacing w:after="0" w:line="240" w:lineRule="auto"/>
        <w:jc w:val="center"/>
        <w:rPr>
          <w:rFonts w:ascii="Times New Roman" w:eastAsia="Times New Roman" w:hAnsi="Times New Roman"/>
          <w:b/>
          <w:bCs/>
          <w:lang w:eastAsia="cs-CZ"/>
        </w:rPr>
      </w:pPr>
    </w:p>
    <w:p w14:paraId="044C8D99" w14:textId="77777777" w:rsidR="00064D21" w:rsidRDefault="00064D21" w:rsidP="00BE65AC">
      <w:pPr>
        <w:spacing w:after="0" w:line="240" w:lineRule="auto"/>
        <w:jc w:val="center"/>
        <w:rPr>
          <w:rFonts w:ascii="Times New Roman" w:eastAsia="Times New Roman" w:hAnsi="Times New Roman"/>
          <w:b/>
          <w:bCs/>
          <w:lang w:eastAsia="cs-CZ"/>
        </w:rPr>
      </w:pPr>
    </w:p>
    <w:p w14:paraId="36943CC1" w14:textId="77777777" w:rsidR="008B1257" w:rsidRDefault="008B1257" w:rsidP="00BE65AC">
      <w:pPr>
        <w:spacing w:after="0" w:line="240" w:lineRule="auto"/>
        <w:jc w:val="center"/>
        <w:rPr>
          <w:rFonts w:ascii="Times New Roman" w:eastAsia="Times New Roman" w:hAnsi="Times New Roman"/>
          <w:b/>
          <w:bCs/>
          <w:lang w:eastAsia="cs-CZ"/>
        </w:rPr>
      </w:pPr>
    </w:p>
    <w:p w14:paraId="6FEB7D58" w14:textId="77777777" w:rsidR="008B1257" w:rsidRDefault="008B1257" w:rsidP="00BE65AC">
      <w:pPr>
        <w:spacing w:after="0" w:line="240" w:lineRule="auto"/>
        <w:jc w:val="center"/>
        <w:rPr>
          <w:rFonts w:ascii="Times New Roman" w:eastAsia="Times New Roman" w:hAnsi="Times New Roman"/>
          <w:b/>
          <w:bCs/>
          <w:lang w:eastAsia="cs-CZ"/>
        </w:rPr>
      </w:pPr>
    </w:p>
    <w:p w14:paraId="07E0E3CD" w14:textId="77777777" w:rsidR="00064D21" w:rsidRDefault="00064D21"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5635398F" w14:textId="20203F94" w:rsidR="00B7459B" w:rsidRDefault="005A0C86"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00B7459B" w:rsidRPr="00406CC0">
        <w:rPr>
          <w:rFonts w:ascii="Times New Roman" w:eastAsia="Times New Roman" w:hAnsi="Times New Roman"/>
          <w:lang w:eastAsia="cs-CZ"/>
        </w:rPr>
        <w:t xml:space="preserve">louva nabývá platnosti a účinnosti podpisem smluvních stran a je vyhotovena </w:t>
      </w:r>
      <w:r w:rsidR="00B7459B" w:rsidRPr="004D4432">
        <w:rPr>
          <w:rFonts w:ascii="Times New Roman" w:eastAsia="Times New Roman" w:hAnsi="Times New Roman"/>
          <w:highlight w:val="yellow"/>
          <w:lang w:eastAsia="cs-CZ"/>
        </w:rPr>
        <w:t>v</w:t>
      </w:r>
      <w:r w:rsidR="00360E6D" w:rsidRPr="004D4432">
        <w:rPr>
          <w:rFonts w:ascii="Times New Roman" w:eastAsia="Times New Roman" w:hAnsi="Times New Roman"/>
          <w:highlight w:val="yellow"/>
          <w:lang w:eastAsia="cs-CZ"/>
        </w:rPr>
        <w:t>/ve</w:t>
      </w:r>
      <w:r w:rsidR="00B7459B" w:rsidRPr="004D4432">
        <w:rPr>
          <w:rFonts w:ascii="Times New Roman" w:eastAsia="Times New Roman" w:hAnsi="Times New Roman"/>
          <w:highlight w:val="yellow"/>
          <w:lang w:eastAsia="cs-CZ"/>
        </w:rPr>
        <w:t xml:space="preserve">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stejnopisech, z nichž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obdrží příjemce a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poskytovatel.</w:t>
      </w:r>
    </w:p>
    <w:p w14:paraId="310D68E7" w14:textId="77777777" w:rsidR="004D4432" w:rsidRPr="00406CC0" w:rsidRDefault="004D4432" w:rsidP="004D4432">
      <w:pPr>
        <w:spacing w:after="0" w:line="240" w:lineRule="auto"/>
        <w:ind w:left="360"/>
        <w:jc w:val="both"/>
        <w:rPr>
          <w:rFonts w:ascii="Times New Roman" w:eastAsia="Times New Roman" w:hAnsi="Times New Roman"/>
          <w:lang w:eastAsia="cs-CZ"/>
        </w:rPr>
      </w:pPr>
    </w:p>
    <w:p w14:paraId="2D1FB833" w14:textId="1500240C" w:rsidR="00F27F91" w:rsidRPr="004D4432" w:rsidRDefault="004D4432" w:rsidP="00BE65AC">
      <w:pPr>
        <w:spacing w:after="0" w:line="240" w:lineRule="auto"/>
        <w:ind w:left="360"/>
        <w:jc w:val="both"/>
        <w:rPr>
          <w:rFonts w:ascii="Times New Roman" w:hAnsi="Times New Roman"/>
          <w:i/>
        </w:rPr>
      </w:pPr>
      <w:r w:rsidRPr="004D4432">
        <w:rPr>
          <w:rFonts w:ascii="Times New Roman" w:hAnsi="Times New Roman"/>
          <w:i/>
          <w:highlight w:val="yellow"/>
        </w:rPr>
        <w:t>n</w:t>
      </w:r>
      <w:r w:rsidR="00F27F91" w:rsidRPr="004D4432">
        <w:rPr>
          <w:rFonts w:ascii="Times New Roman" w:hAnsi="Times New Roman"/>
          <w:i/>
          <w:highlight w:val="yellow"/>
        </w:rPr>
        <w:t>ebo</w:t>
      </w:r>
    </w:p>
    <w:p w14:paraId="6A7E2D79" w14:textId="77777777" w:rsidR="004D4432" w:rsidRPr="00406CC0" w:rsidRDefault="004D4432" w:rsidP="00BE65AC">
      <w:pPr>
        <w:spacing w:after="0" w:line="240" w:lineRule="auto"/>
        <w:ind w:left="360"/>
        <w:jc w:val="both"/>
        <w:rPr>
          <w:rFonts w:ascii="Times New Roman" w:hAnsi="Times New Roman"/>
          <w:color w:val="FF0000"/>
        </w:rPr>
      </w:pPr>
    </w:p>
    <w:p w14:paraId="1D65936A" w14:textId="1451EE3D"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třech stejnopisech, z nichž jeden obdrží příjemce a dva 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19CC4E98" w:rsidR="0014413C" w:rsidRPr="005A0C86" w:rsidRDefault="005A0C86" w:rsidP="005A0C86">
      <w:pPr>
        <w:tabs>
          <w:tab w:val="left" w:pos="426"/>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5.</w:t>
      </w:r>
      <w:r>
        <w:rPr>
          <w:rFonts w:ascii="Times New Roman" w:eastAsia="Times New Roman" w:hAnsi="Times New Roman"/>
          <w:lang w:eastAsia="cs-CZ"/>
        </w:rPr>
        <w:tab/>
      </w:r>
      <w:r w:rsidR="0014413C" w:rsidRPr="005A0C86">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Pr>
          <w:rFonts w:ascii="Times New Roman" w:eastAsia="Times New Roman" w:hAnsi="Times New Roman"/>
          <w:lang w:eastAsia="cs-CZ"/>
        </w:rPr>
        <w:t>ze nejbližšími s přihlédnutím k </w:t>
      </w:r>
      <w:r w:rsidR="0014413C" w:rsidRPr="005A0C86">
        <w:rPr>
          <w:rFonts w:ascii="Times New Roman" w:eastAsia="Times New Roman" w:hAnsi="Times New Roman"/>
          <w:lang w:eastAsia="cs-CZ"/>
        </w:rPr>
        <w:t>vůli smluvních stran dle předmětu smlouvy.</w:t>
      </w:r>
    </w:p>
    <w:p w14:paraId="3D6361D3" w14:textId="77777777" w:rsidR="00942534" w:rsidRPr="00406CC0" w:rsidRDefault="00942534" w:rsidP="005A0C86">
      <w:pPr>
        <w:tabs>
          <w:tab w:val="left" w:pos="426"/>
        </w:tabs>
        <w:spacing w:after="0" w:line="240" w:lineRule="auto"/>
        <w:ind w:left="426" w:hanging="426"/>
        <w:jc w:val="both"/>
        <w:rPr>
          <w:rFonts w:ascii="Times New Roman" w:eastAsia="Times New Roman" w:hAnsi="Times New Roman"/>
          <w:lang w:eastAsia="cs-CZ"/>
        </w:rPr>
      </w:pPr>
    </w:p>
    <w:p w14:paraId="0279AE72" w14:textId="4304FD4E" w:rsidR="0014413C"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14413C" w:rsidRPr="005A0C86">
        <w:rPr>
          <w:rFonts w:ascii="Times New Roman" w:eastAsia="Times New Roman" w:hAnsi="Times New Roman"/>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w:t>
      </w:r>
      <w:r w:rsidR="005A0C86">
        <w:rPr>
          <w:rFonts w:ascii="Times New Roman" w:eastAsia="Times New Roman" w:hAnsi="Times New Roman"/>
          <w:lang w:eastAsia="cs-CZ"/>
        </w:rPr>
        <w:t>la v souladu s ustanovením § 59 </w:t>
      </w:r>
      <w:r w:rsidR="0014413C" w:rsidRPr="00406CC0">
        <w:rPr>
          <w:rFonts w:ascii="Times New Roman" w:eastAsia="Times New Roman" w:hAnsi="Times New Roman"/>
          <w:lang w:eastAsia="cs-CZ"/>
        </w:rPr>
        <w:t>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Rada Karlovarského kraje usnesením č. </w:t>
      </w:r>
      <w:r w:rsidR="004766E0" w:rsidRPr="00406CC0">
        <w:rPr>
          <w:rFonts w:ascii="Times New Roman" w:eastAsia="Times New Roman" w:hAnsi="Times New Roman"/>
          <w:lang w:eastAsia="cs-CZ"/>
        </w:rPr>
        <w:t xml:space="preserve">RK </w:t>
      </w:r>
      <w:r w:rsidR="0014413C" w:rsidRPr="00406CC0">
        <w:rPr>
          <w:rFonts w:ascii="Times New Roman" w:eastAsia="Times New Roman" w:hAnsi="Times New Roman"/>
          <w:highlight w:val="yellow"/>
          <w:lang w:eastAsia="cs-CZ"/>
        </w:rPr>
        <w:t xml:space="preserve">usnesení </w:t>
      </w:r>
      <w:r w:rsidR="0014413C" w:rsidRPr="00406CC0">
        <w:rPr>
          <w:rFonts w:ascii="Times New Roman" w:eastAsia="Times New Roman" w:hAnsi="Times New Roman"/>
          <w:lang w:eastAsia="cs-CZ"/>
        </w:rPr>
        <w:t xml:space="preserve">ze dne </w:t>
      </w:r>
      <w:r w:rsidR="0014413C" w:rsidRPr="00406CC0">
        <w:rPr>
          <w:rFonts w:ascii="Times New Roman" w:eastAsia="Times New Roman" w:hAnsi="Times New Roman"/>
          <w:highlight w:val="yellow"/>
          <w:lang w:eastAsia="cs-CZ"/>
        </w:rPr>
        <w:t>datum</w:t>
      </w:r>
      <w:r w:rsidR="0014413C" w:rsidRPr="00406CC0">
        <w:rPr>
          <w:rFonts w:ascii="Times New Roman" w:eastAsia="Times New Roman" w:hAnsi="Times New Roman"/>
          <w:lang w:eastAsia="cs-CZ"/>
        </w:rPr>
        <w:t>.</w:t>
      </w:r>
    </w:p>
    <w:p w14:paraId="2A60BDAC" w14:textId="77777777" w:rsidR="005A0C86" w:rsidRPr="00406CC0" w:rsidRDefault="005A0C86" w:rsidP="005A0C86">
      <w:pPr>
        <w:tabs>
          <w:tab w:val="left" w:pos="426"/>
        </w:tabs>
        <w:spacing w:after="0" w:line="240" w:lineRule="auto"/>
        <w:ind w:left="426" w:hanging="426"/>
        <w:jc w:val="both"/>
        <w:rPr>
          <w:rFonts w:ascii="Times New Roman" w:eastAsia="Times New Roman" w:hAnsi="Times New Roman"/>
          <w:lang w:eastAsia="cs-CZ"/>
        </w:rPr>
      </w:pPr>
    </w:p>
    <w:p w14:paraId="77463E4E" w14:textId="2C3CF5EA" w:rsidR="0014413C" w:rsidRDefault="005A0C86" w:rsidP="00814A09">
      <w:pPr>
        <w:spacing w:after="0" w:line="240" w:lineRule="auto"/>
        <w:ind w:left="426"/>
        <w:rPr>
          <w:rFonts w:ascii="Times New Roman" w:eastAsia="Times New Roman" w:hAnsi="Times New Roman"/>
          <w:i/>
          <w:lang w:eastAsia="cs-CZ"/>
        </w:rPr>
      </w:pPr>
      <w:r>
        <w:rPr>
          <w:rFonts w:ascii="Times New Roman" w:eastAsia="Times New Roman" w:hAnsi="Times New Roman"/>
          <w:i/>
          <w:highlight w:val="yellow"/>
          <w:lang w:eastAsia="cs-CZ"/>
        </w:rPr>
        <w:t>n</w:t>
      </w:r>
      <w:r w:rsidRPr="005A0C86">
        <w:rPr>
          <w:rFonts w:ascii="Times New Roman" w:eastAsia="Times New Roman" w:hAnsi="Times New Roman"/>
          <w:i/>
          <w:highlight w:val="yellow"/>
          <w:lang w:eastAsia="cs-CZ"/>
        </w:rPr>
        <w:t>ebo</w:t>
      </w:r>
    </w:p>
    <w:p w14:paraId="5C5946C6" w14:textId="77777777" w:rsidR="005A0C86" w:rsidRPr="005A0C86" w:rsidRDefault="005A0C86" w:rsidP="005A0C86">
      <w:pPr>
        <w:spacing w:after="0" w:line="240" w:lineRule="auto"/>
        <w:ind w:left="426" w:hanging="426"/>
        <w:rPr>
          <w:rFonts w:ascii="Times New Roman" w:eastAsia="Times New Roman" w:hAnsi="Times New Roman"/>
          <w:i/>
          <w:lang w:eastAsia="cs-CZ"/>
        </w:rPr>
      </w:pPr>
    </w:p>
    <w:p w14:paraId="45C61ECF" w14:textId="650B2798" w:rsidR="004766E0" w:rsidRPr="00406CC0"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4766E0" w:rsidRPr="005A0C86">
        <w:rPr>
          <w:rFonts w:ascii="Times New Roman" w:eastAsia="Times New Roman" w:hAnsi="Times New Roman"/>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č. </w:t>
      </w:r>
      <w:r w:rsidR="00543233" w:rsidRPr="00406CC0">
        <w:rPr>
          <w:rFonts w:ascii="Times New Roman" w:eastAsia="Times New Roman" w:hAnsi="Times New Roman"/>
          <w:lang w:eastAsia="cs-CZ"/>
        </w:rPr>
        <w:t>ZK</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highlight w:val="yellow"/>
          <w:lang w:eastAsia="cs-CZ"/>
        </w:rPr>
        <w:t xml:space="preserve">usnesení </w:t>
      </w:r>
      <w:r w:rsidR="004766E0" w:rsidRPr="00406CC0">
        <w:rPr>
          <w:rFonts w:ascii="Times New Roman" w:eastAsia="Times New Roman" w:hAnsi="Times New Roman"/>
          <w:lang w:eastAsia="cs-CZ"/>
        </w:rPr>
        <w:t xml:space="preserve">ze dne </w:t>
      </w:r>
      <w:r w:rsidR="004766E0" w:rsidRPr="00406CC0">
        <w:rPr>
          <w:rFonts w:ascii="Times New Roman" w:eastAsia="Times New Roman" w:hAnsi="Times New Roman"/>
          <w:highlight w:val="yellow"/>
          <w:lang w:eastAsia="cs-CZ"/>
        </w:rPr>
        <w:t>datum</w:t>
      </w:r>
      <w:r w:rsidR="004766E0" w:rsidRPr="00406CC0">
        <w:rPr>
          <w:rFonts w:ascii="Times New Roman" w:eastAsia="Times New Roman" w:hAnsi="Times New Roman"/>
          <w:lang w:eastAsia="cs-CZ"/>
        </w:rPr>
        <w:t>.</w:t>
      </w:r>
    </w:p>
    <w:p w14:paraId="6B8825AE" w14:textId="472F96A6" w:rsidR="0014413C" w:rsidRDefault="0014413C" w:rsidP="005A0C86">
      <w:pPr>
        <w:spacing w:after="0" w:line="240" w:lineRule="auto"/>
        <w:ind w:left="426" w:hanging="426"/>
        <w:jc w:val="both"/>
        <w:rPr>
          <w:rFonts w:ascii="Times New Roman" w:eastAsia="Times New Roman" w:hAnsi="Times New Roman"/>
          <w:lang w:eastAsia="cs-CZ"/>
        </w:rPr>
      </w:pPr>
    </w:p>
    <w:p w14:paraId="4DEFE12E"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98FF24F"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24F9B71"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430AF041"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15AFBBEB"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11C8E9BC"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63BB9016"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D937E13"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E586FD4"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1C6D215"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3766710"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05CBF2F"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11F36FB"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458D0AE8"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4EE84A4F"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69E71E3" w14:textId="77777777" w:rsidR="005A0C86" w:rsidRDefault="005A0C86" w:rsidP="005A0C86">
      <w:pPr>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4E292CC7"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r w:rsidRPr="00406CC0">
              <w:rPr>
                <w:rFonts w:ascii="Times New Roman" w:eastAsia="Times New Roman" w:hAnsi="Times New Roman"/>
                <w:highlight w:val="yellow"/>
                <w:lang w:eastAsia="cs-CZ"/>
              </w:rPr>
              <w:t>datum</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942534" w:rsidRPr="00406CC0">
              <w:rPr>
                <w:rFonts w:ascii="Times New Roman" w:eastAsia="Times New Roman" w:hAnsi="Times New Roman"/>
                <w:lang w:eastAsia="cs-CZ"/>
              </w:rPr>
              <w:t>…..</w:t>
            </w:r>
            <w:r w:rsidRPr="00406CC0">
              <w:rPr>
                <w:rFonts w:ascii="Times New Roman" w:eastAsia="Times New Roman" w:hAnsi="Times New Roman"/>
                <w:lang w:eastAsia="cs-CZ"/>
              </w:rPr>
              <w:t xml:space="preserve"> </w:t>
            </w:r>
            <w:r w:rsidR="00942534" w:rsidRPr="00406CC0">
              <w:rPr>
                <w:rFonts w:ascii="Times New Roman" w:eastAsia="Times New Roman" w:hAnsi="Times New Roman"/>
                <w:lang w:eastAsia="cs-CZ"/>
              </w:rPr>
              <w:t xml:space="preserve">….. ….. ….. ….. </w:t>
            </w:r>
            <w:r w:rsidRPr="00406CC0">
              <w:rPr>
                <w:rFonts w:ascii="Times New Roman" w:eastAsia="Times New Roman" w:hAnsi="Times New Roman"/>
                <w:lang w:eastAsia="cs-CZ"/>
              </w:rPr>
              <w:t xml:space="preserve">dne </w:t>
            </w:r>
            <w:r w:rsidRPr="00406CC0">
              <w:rPr>
                <w:rFonts w:ascii="Times New Roman" w:eastAsia="Times New Roman" w:hAnsi="Times New Roman"/>
                <w:highlight w:val="yellow"/>
                <w:lang w:eastAsia="cs-CZ"/>
              </w:rPr>
              <w:t>datum</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543233" w:rsidRPr="00406CC0" w14:paraId="18658F85" w14:textId="77777777" w:rsidTr="00543233">
        <w:trPr>
          <w:trHeight w:val="1536"/>
        </w:trPr>
        <w:tc>
          <w:tcPr>
            <w:tcW w:w="4534" w:type="dxa"/>
            <w:tcBorders>
              <w:top w:val="single" w:sz="4" w:space="0" w:color="auto"/>
              <w:left w:val="nil"/>
              <w:bottom w:val="nil"/>
              <w:right w:val="single" w:sz="4" w:space="0" w:color="auto"/>
            </w:tcBorders>
          </w:tcPr>
          <w:p w14:paraId="6DC20C2C" w14:textId="77777777"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4859E041" w14:textId="77777777" w:rsidR="00543233" w:rsidRPr="00406CC0" w:rsidRDefault="00543233" w:rsidP="0072064C">
            <w:pPr>
              <w:spacing w:after="0" w:line="240" w:lineRule="auto"/>
              <w:jc w:val="center"/>
              <w:rPr>
                <w:rFonts w:ascii="Times New Roman" w:eastAsia="Times New Roman" w:hAnsi="Times New Roman"/>
                <w:lang w:eastAsia="cs-CZ"/>
              </w:rPr>
            </w:pPr>
          </w:p>
          <w:p w14:paraId="3AFD0996" w14:textId="77777777" w:rsidR="00543233" w:rsidRPr="00406CC0" w:rsidRDefault="00543233" w:rsidP="0072064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 ….. ….. ….. ….. ….. dne </w:t>
            </w:r>
            <w:r w:rsidRPr="00406CC0">
              <w:rPr>
                <w:rFonts w:ascii="Times New Roman" w:eastAsia="Times New Roman" w:hAnsi="Times New Roman"/>
                <w:highlight w:val="yellow"/>
                <w:lang w:eastAsia="cs-CZ"/>
              </w:rPr>
              <w:t>datum</w:t>
            </w:r>
          </w:p>
        </w:tc>
      </w:tr>
      <w:tr w:rsidR="00543233" w:rsidRPr="00406CC0" w14:paraId="64FAB4E0" w14:textId="77777777" w:rsidTr="00543233">
        <w:trPr>
          <w:trHeight w:val="1536"/>
        </w:trPr>
        <w:tc>
          <w:tcPr>
            <w:tcW w:w="4534" w:type="dxa"/>
            <w:tcBorders>
              <w:top w:val="nil"/>
              <w:left w:val="nil"/>
              <w:bottom w:val="nil"/>
              <w:right w:val="single" w:sz="4" w:space="0" w:color="auto"/>
            </w:tcBorders>
          </w:tcPr>
          <w:p w14:paraId="03DEBD51" w14:textId="2CC26314"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13117F74" w14:textId="77777777" w:rsidR="00543233" w:rsidRPr="00406CC0" w:rsidRDefault="00543233" w:rsidP="0072064C">
            <w:pPr>
              <w:spacing w:after="0" w:line="240" w:lineRule="auto"/>
              <w:jc w:val="center"/>
              <w:rPr>
                <w:rFonts w:ascii="Times New Roman" w:eastAsia="Times New Roman" w:hAnsi="Times New Roman"/>
                <w:lang w:eastAsia="cs-CZ"/>
              </w:rPr>
            </w:pPr>
          </w:p>
          <w:p w14:paraId="2153535E" w14:textId="77777777" w:rsidR="00543233" w:rsidRPr="00406CC0" w:rsidRDefault="00543233" w:rsidP="0072064C">
            <w:pPr>
              <w:spacing w:after="0" w:line="240" w:lineRule="auto"/>
              <w:jc w:val="center"/>
              <w:rPr>
                <w:rFonts w:ascii="Times New Roman" w:eastAsia="Times New Roman" w:hAnsi="Times New Roman"/>
                <w:lang w:eastAsia="cs-CZ"/>
              </w:rPr>
            </w:pPr>
          </w:p>
          <w:p w14:paraId="14B208E7" w14:textId="77777777" w:rsidR="00543233" w:rsidRPr="00406CC0" w:rsidRDefault="00543233" w:rsidP="0072064C">
            <w:pPr>
              <w:spacing w:after="0" w:line="240" w:lineRule="auto"/>
              <w:jc w:val="center"/>
              <w:rPr>
                <w:rFonts w:ascii="Times New Roman" w:eastAsia="Times New Roman" w:hAnsi="Times New Roman"/>
                <w:lang w:eastAsia="cs-CZ"/>
              </w:rPr>
            </w:pPr>
          </w:p>
          <w:p w14:paraId="0D0C51E6" w14:textId="77777777" w:rsidR="00543233" w:rsidRPr="00406CC0" w:rsidRDefault="00543233" w:rsidP="0072064C">
            <w:pPr>
              <w:spacing w:after="0" w:line="240" w:lineRule="auto"/>
              <w:jc w:val="center"/>
              <w:rPr>
                <w:rFonts w:ascii="Times New Roman" w:eastAsia="Times New Roman" w:hAnsi="Times New Roman"/>
                <w:lang w:eastAsia="cs-CZ"/>
              </w:rPr>
            </w:pPr>
          </w:p>
          <w:p w14:paraId="2CAE9F13" w14:textId="77777777"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219706C" w14:textId="44BEAF42"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6A03535" w14:textId="234D4DEE" w:rsidR="00EF04B3" w:rsidRPr="00406CC0" w:rsidRDefault="00160C8F" w:rsidP="00BE65AC">
      <w:pPr>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referent</w:t>
      </w: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7"/>
          <w:pgSz w:w="11906" w:h="16838"/>
          <w:pgMar w:top="1417" w:right="1417" w:bottom="1417" w:left="1417" w:header="708" w:footer="708" w:gutter="0"/>
          <w:cols w:space="708"/>
          <w:titlePg/>
          <w:docGrid w:linePitch="360"/>
        </w:sect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7E36B46D" w:rsidR="00F44B77" w:rsidRPr="00406CC0" w:rsidRDefault="005A0C86" w:rsidP="005A0C86">
            <w:pPr>
              <w:widowControl w:val="0"/>
              <w:autoSpaceDE w:val="0"/>
              <w:autoSpaceDN w:val="0"/>
              <w:adjustRightInd w:val="0"/>
              <w:spacing w:after="0" w:line="240" w:lineRule="auto"/>
              <w:rPr>
                <w:rFonts w:ascii="Times New Roman" w:eastAsia="Times New Roman" w:hAnsi="Times New Roman"/>
                <w:lang w:eastAsia="cs-CZ"/>
              </w:rPr>
            </w:pPr>
            <w:r w:rsidRPr="005A0C86">
              <w:rPr>
                <w:rFonts w:ascii="Times New Roman" w:eastAsia="Times New Roman" w:hAnsi="Times New Roman"/>
                <w:lang w:eastAsia="cs-CZ"/>
              </w:rPr>
              <w:t>odbor školství, mládeže a tělovýchovy</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0E23" w14:textId="77777777" w:rsidR="00FC359C" w:rsidRDefault="00FC359C" w:rsidP="00BE360F">
      <w:pPr>
        <w:spacing w:after="0" w:line="240" w:lineRule="auto"/>
      </w:pPr>
      <w:r>
        <w:separator/>
      </w:r>
    </w:p>
  </w:endnote>
  <w:endnote w:type="continuationSeparator" w:id="0">
    <w:p w14:paraId="7B313AF7" w14:textId="77777777" w:rsidR="00FC359C" w:rsidRDefault="00FC359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F4A4079"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173C3B">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F421" w14:textId="77777777" w:rsidR="00FC359C" w:rsidRDefault="00FC359C" w:rsidP="00BE360F">
      <w:pPr>
        <w:spacing w:after="0" w:line="240" w:lineRule="auto"/>
      </w:pPr>
      <w:r>
        <w:separator/>
      </w:r>
    </w:p>
  </w:footnote>
  <w:footnote w:type="continuationSeparator" w:id="0">
    <w:p w14:paraId="6E773EC0" w14:textId="77777777" w:rsidR="00FC359C" w:rsidRDefault="00FC359C"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7B29"/>
    <w:rsid w:val="000203BA"/>
    <w:rsid w:val="00021B99"/>
    <w:rsid w:val="00042B34"/>
    <w:rsid w:val="000517B9"/>
    <w:rsid w:val="00054236"/>
    <w:rsid w:val="00064D21"/>
    <w:rsid w:val="000717CB"/>
    <w:rsid w:val="0007392E"/>
    <w:rsid w:val="000D0A0A"/>
    <w:rsid w:val="000D7E3F"/>
    <w:rsid w:val="001005CC"/>
    <w:rsid w:val="00110B7C"/>
    <w:rsid w:val="00123BD3"/>
    <w:rsid w:val="00133E0D"/>
    <w:rsid w:val="00137BD3"/>
    <w:rsid w:val="0014413C"/>
    <w:rsid w:val="00151042"/>
    <w:rsid w:val="00160C8F"/>
    <w:rsid w:val="00165A58"/>
    <w:rsid w:val="00172B80"/>
    <w:rsid w:val="00173C3B"/>
    <w:rsid w:val="001A17EC"/>
    <w:rsid w:val="001B4CCB"/>
    <w:rsid w:val="001F6BB4"/>
    <w:rsid w:val="001F7C4F"/>
    <w:rsid w:val="0021036C"/>
    <w:rsid w:val="00222BFF"/>
    <w:rsid w:val="00223AA5"/>
    <w:rsid w:val="00255105"/>
    <w:rsid w:val="00255E42"/>
    <w:rsid w:val="00295DBF"/>
    <w:rsid w:val="002B630B"/>
    <w:rsid w:val="002C3D92"/>
    <w:rsid w:val="002D4503"/>
    <w:rsid w:val="002E7009"/>
    <w:rsid w:val="0030407C"/>
    <w:rsid w:val="003211B2"/>
    <w:rsid w:val="0034026B"/>
    <w:rsid w:val="003433B5"/>
    <w:rsid w:val="003444FD"/>
    <w:rsid w:val="00357618"/>
    <w:rsid w:val="00360E6D"/>
    <w:rsid w:val="0039369F"/>
    <w:rsid w:val="00397077"/>
    <w:rsid w:val="003A2D63"/>
    <w:rsid w:val="003A4509"/>
    <w:rsid w:val="003B42E8"/>
    <w:rsid w:val="003C1573"/>
    <w:rsid w:val="003E62A8"/>
    <w:rsid w:val="003F2BD5"/>
    <w:rsid w:val="00406CC0"/>
    <w:rsid w:val="00414D20"/>
    <w:rsid w:val="00424DBD"/>
    <w:rsid w:val="004521A6"/>
    <w:rsid w:val="004766E0"/>
    <w:rsid w:val="00485A84"/>
    <w:rsid w:val="004A1309"/>
    <w:rsid w:val="004A34B2"/>
    <w:rsid w:val="004B4520"/>
    <w:rsid w:val="004D4432"/>
    <w:rsid w:val="004D7C7B"/>
    <w:rsid w:val="004F157D"/>
    <w:rsid w:val="00504B8A"/>
    <w:rsid w:val="00514F52"/>
    <w:rsid w:val="005169F4"/>
    <w:rsid w:val="00526E11"/>
    <w:rsid w:val="005427A7"/>
    <w:rsid w:val="00543233"/>
    <w:rsid w:val="00554EDC"/>
    <w:rsid w:val="0056213F"/>
    <w:rsid w:val="005672DF"/>
    <w:rsid w:val="005914D8"/>
    <w:rsid w:val="00596BB2"/>
    <w:rsid w:val="005A0C86"/>
    <w:rsid w:val="005C4092"/>
    <w:rsid w:val="005D3C03"/>
    <w:rsid w:val="005E120E"/>
    <w:rsid w:val="005E2458"/>
    <w:rsid w:val="005E49E3"/>
    <w:rsid w:val="00602229"/>
    <w:rsid w:val="0062537E"/>
    <w:rsid w:val="006266EF"/>
    <w:rsid w:val="00632C71"/>
    <w:rsid w:val="00647A74"/>
    <w:rsid w:val="00647E22"/>
    <w:rsid w:val="006636F5"/>
    <w:rsid w:val="00673DD2"/>
    <w:rsid w:val="00685BCE"/>
    <w:rsid w:val="006979A3"/>
    <w:rsid w:val="006A768E"/>
    <w:rsid w:val="006B657C"/>
    <w:rsid w:val="006B7B50"/>
    <w:rsid w:val="006C029B"/>
    <w:rsid w:val="006D060C"/>
    <w:rsid w:val="006F408B"/>
    <w:rsid w:val="0071261C"/>
    <w:rsid w:val="007519BF"/>
    <w:rsid w:val="00771AFF"/>
    <w:rsid w:val="007872FD"/>
    <w:rsid w:val="00793E30"/>
    <w:rsid w:val="007C0642"/>
    <w:rsid w:val="007C659B"/>
    <w:rsid w:val="00810246"/>
    <w:rsid w:val="00814A09"/>
    <w:rsid w:val="00857137"/>
    <w:rsid w:val="0086528E"/>
    <w:rsid w:val="00871172"/>
    <w:rsid w:val="00887680"/>
    <w:rsid w:val="008971A4"/>
    <w:rsid w:val="008A78C6"/>
    <w:rsid w:val="008A7A6B"/>
    <w:rsid w:val="008B1257"/>
    <w:rsid w:val="008E2D00"/>
    <w:rsid w:val="008F4CA7"/>
    <w:rsid w:val="00900482"/>
    <w:rsid w:val="0090147B"/>
    <w:rsid w:val="009033B3"/>
    <w:rsid w:val="00910550"/>
    <w:rsid w:val="00920744"/>
    <w:rsid w:val="00921426"/>
    <w:rsid w:val="00932C22"/>
    <w:rsid w:val="00942534"/>
    <w:rsid w:val="009510B9"/>
    <w:rsid w:val="00966A0B"/>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03BF"/>
    <w:rsid w:val="00AF3BC4"/>
    <w:rsid w:val="00AF58B3"/>
    <w:rsid w:val="00B71CC1"/>
    <w:rsid w:val="00B7459B"/>
    <w:rsid w:val="00B81791"/>
    <w:rsid w:val="00B85089"/>
    <w:rsid w:val="00BB75B4"/>
    <w:rsid w:val="00BD1541"/>
    <w:rsid w:val="00BE0D49"/>
    <w:rsid w:val="00BE360F"/>
    <w:rsid w:val="00BE65AC"/>
    <w:rsid w:val="00BE660D"/>
    <w:rsid w:val="00C04C17"/>
    <w:rsid w:val="00C400A4"/>
    <w:rsid w:val="00C41656"/>
    <w:rsid w:val="00C42D29"/>
    <w:rsid w:val="00C534F0"/>
    <w:rsid w:val="00C75FCA"/>
    <w:rsid w:val="00C857E0"/>
    <w:rsid w:val="00CC1E5A"/>
    <w:rsid w:val="00CC3E33"/>
    <w:rsid w:val="00CC59AB"/>
    <w:rsid w:val="00D06889"/>
    <w:rsid w:val="00D2561C"/>
    <w:rsid w:val="00D4003A"/>
    <w:rsid w:val="00D4279B"/>
    <w:rsid w:val="00D54890"/>
    <w:rsid w:val="00D6351F"/>
    <w:rsid w:val="00D752E9"/>
    <w:rsid w:val="00D75FEA"/>
    <w:rsid w:val="00D86122"/>
    <w:rsid w:val="00D877E7"/>
    <w:rsid w:val="00D90BDC"/>
    <w:rsid w:val="00D9330A"/>
    <w:rsid w:val="00DA30D1"/>
    <w:rsid w:val="00DB3437"/>
    <w:rsid w:val="00DB61B8"/>
    <w:rsid w:val="00DC74B9"/>
    <w:rsid w:val="00DE7302"/>
    <w:rsid w:val="00E21999"/>
    <w:rsid w:val="00E21BE9"/>
    <w:rsid w:val="00E22F7A"/>
    <w:rsid w:val="00E231E5"/>
    <w:rsid w:val="00E33EE2"/>
    <w:rsid w:val="00E34CB7"/>
    <w:rsid w:val="00E34F38"/>
    <w:rsid w:val="00E44B36"/>
    <w:rsid w:val="00E518E0"/>
    <w:rsid w:val="00E57AB3"/>
    <w:rsid w:val="00E729FB"/>
    <w:rsid w:val="00E91AE5"/>
    <w:rsid w:val="00E91D4A"/>
    <w:rsid w:val="00EA1FDE"/>
    <w:rsid w:val="00EA39C9"/>
    <w:rsid w:val="00EB3861"/>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707CA"/>
    <w:rsid w:val="00F70A0F"/>
    <w:rsid w:val="00F75EE2"/>
    <w:rsid w:val="00F90498"/>
    <w:rsid w:val="00FC359C"/>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1D278C6A-E035-46CA-945B-452DFBCB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4859-A281-4887-A0EE-5831E3031E5F}"/>
</file>

<file path=customXml/itemProps2.xml><?xml version="1.0" encoding="utf-8"?>
<ds:datastoreItem xmlns:ds="http://schemas.openxmlformats.org/officeDocument/2006/customXml" ds:itemID="{0C636A78-8727-4BFF-85BF-F8A6743A6C62}"/>
</file>

<file path=customXml/itemProps3.xml><?xml version="1.0" encoding="utf-8"?>
<ds:datastoreItem xmlns:ds="http://schemas.openxmlformats.org/officeDocument/2006/customXml" ds:itemID="{651F5350-DDE4-4328-A77D-D9AEA31132C0}"/>
</file>

<file path=customXml/itemProps4.xml><?xml version="1.0" encoding="utf-8"?>
<ds:datastoreItem xmlns:ds="http://schemas.openxmlformats.org/officeDocument/2006/customXml" ds:itemID="{63A0C5E6-6DB3-45B4-992A-756700D51043}"/>
</file>

<file path=docProps/app.xml><?xml version="1.0" encoding="utf-8"?>
<Properties xmlns="http://schemas.openxmlformats.org/officeDocument/2006/extended-properties" xmlns:vt="http://schemas.openxmlformats.org/officeDocument/2006/docPropsVTypes">
  <Template>Normal</Template>
  <TotalTime>1</TotalTime>
  <Pages>9</Pages>
  <Words>3076</Words>
  <Characters>18153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Sport 2018 repre - P2 smlouva</vt:lpstr>
    </vt:vector>
  </TitlesOfParts>
  <Company>Karlovarský kraj Krajský úřad</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11 k usnesení z 93. zasedání Rady Karlovarského kraje, které se uskutečnilo dne 28.05.2018 (k bodu č. 42)</dc:title>
  <dc:creator>Vratislav Smoleja</dc:creator>
  <cp:lastModifiedBy>Burešová Lenka OVZ</cp:lastModifiedBy>
  <cp:revision>2</cp:revision>
  <cp:lastPrinted>2015-07-01T10:55:00Z</cp:lastPrinted>
  <dcterms:created xsi:type="dcterms:W3CDTF">2018-05-29T08:55:00Z</dcterms:created>
  <dcterms:modified xsi:type="dcterms:W3CDTF">2018-05-29T08:55:00Z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4" name="RoutingEnabled">
    <vt:bool>false</vt:bool>
  </property>
</Properties>
</file>