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color w:val="FF0000"/>
          <w:highlight w:val="yellow"/>
          <w:lang w:eastAsia="cs-CZ"/>
        </w:rPr>
        <w:t>oprá</w:t>
      </w:r>
      <w:r w:rsidRPr="001F7143">
        <w:rPr>
          <w:rFonts w:eastAsia="Times New Roman"/>
          <w:color w:val="FF0000"/>
          <w:highlight w:val="yellow"/>
          <w:lang w:eastAsia="cs-CZ"/>
        </w:rPr>
        <w:t>vněnáosobazakraj</w:t>
      </w:r>
      <w:proofErr w:type="spellEnd"/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8F653F" w:rsidRDefault="008F653F" w:rsidP="00C56CA3">
      <w:pPr>
        <w:pStyle w:val="Bezmezer"/>
      </w:pPr>
      <w:bookmarkStart w:id="1" w:name="Banka"/>
      <w:r>
        <w:t xml:space="preserve">       Komerční banka, a.</w:t>
      </w:r>
      <w:proofErr w:type="gramStart"/>
      <w:r>
        <w:t>s.                               číslo</w:t>
      </w:r>
      <w:proofErr w:type="gramEnd"/>
      <w:r>
        <w:t xml:space="preserve"> účtu    27-5622800267/0100</w:t>
      </w:r>
    </w:p>
    <w:p w:rsidR="008F653F" w:rsidRDefault="008F653F" w:rsidP="00C56CA3">
      <w:pPr>
        <w:pStyle w:val="Bezmezer"/>
      </w:pPr>
      <w:r>
        <w:t>případně další účty:</w:t>
      </w:r>
    </w:p>
    <w:p w:rsidR="008F653F" w:rsidRDefault="008F653F" w:rsidP="00C56CA3">
      <w:pPr>
        <w:pStyle w:val="Bezmezer"/>
      </w:pPr>
      <w:r>
        <w:t xml:space="preserve">       Československá obchodní banka, a.</w:t>
      </w:r>
      <w:proofErr w:type="gramStart"/>
      <w:r>
        <w:t>s.     číslo</w:t>
      </w:r>
      <w:proofErr w:type="gramEnd"/>
      <w:r>
        <w:t xml:space="preserve"> účtu    197889578/0300</w:t>
      </w:r>
    </w:p>
    <w:p w:rsidR="008F653F" w:rsidRDefault="008F653F" w:rsidP="00C56CA3">
      <w:pPr>
        <w:pStyle w:val="Bezmezer"/>
      </w:pPr>
      <w:r>
        <w:t xml:space="preserve">       Česká spořitelna, a.</w:t>
      </w:r>
      <w:proofErr w:type="gramStart"/>
      <w:r>
        <w:t>s.                               číslo</w:t>
      </w:r>
      <w:proofErr w:type="gramEnd"/>
      <w:r>
        <w:t xml:space="preserve"> účtu    7613272/0800</w:t>
      </w:r>
    </w:p>
    <w:p w:rsidR="008F653F" w:rsidRDefault="008F653F" w:rsidP="00C56CA3">
      <w:pPr>
        <w:pStyle w:val="Bezmezer"/>
      </w:pPr>
      <w:r>
        <w:t xml:space="preserve">       PPF banka, a.</w:t>
      </w:r>
      <w:proofErr w:type="gramStart"/>
      <w:r>
        <w:t>s.                                        číslo</w:t>
      </w:r>
      <w:proofErr w:type="gramEnd"/>
      <w:r>
        <w:t xml:space="preserve">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DE029D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8F653F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8F653F" w:rsidRDefault="008F653F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8F653F" w:rsidRDefault="008F653F" w:rsidP="00C56CA3">
      <w:pPr>
        <w:pStyle w:val="Bezmezer"/>
      </w:pPr>
      <w:r>
        <w:t>Identifikační číslo:    IČO</w:t>
      </w:r>
    </w:p>
    <w:p w:rsidR="008F653F" w:rsidRDefault="008F653F" w:rsidP="00C56CA3">
      <w:pPr>
        <w:pStyle w:val="Bezmezer"/>
      </w:pPr>
      <w:r>
        <w:t>DIČ:    DIČ</w:t>
      </w:r>
    </w:p>
    <w:p w:rsidR="008F653F" w:rsidRDefault="008F653F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8F653F" w:rsidRDefault="008F653F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8F653F" w:rsidRDefault="008F653F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8F653F" w:rsidRDefault="008F653F" w:rsidP="00C56CA3">
      <w:pPr>
        <w:pStyle w:val="Bezmezer"/>
      </w:pPr>
      <w:r>
        <w:t>E -mail</w:t>
      </w:r>
      <w:r w:rsidR="00F91304">
        <w:rPr>
          <w:rFonts w:eastAsia="Times New Roman"/>
          <w:lang w:eastAsia="cs-CZ"/>
        </w:rPr>
        <w:t>/Datová schránka</w:t>
      </w:r>
      <w:r>
        <w:t xml:space="preserve">:        </w:t>
      </w:r>
      <w:proofErr w:type="spellStart"/>
      <w:r>
        <w:t>emailadresa</w:t>
      </w:r>
      <w:proofErr w:type="spellEnd"/>
    </w:p>
    <w:p w:rsidR="00075321" w:rsidRPr="00A70D83" w:rsidRDefault="008F653F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1E0B86" w:rsidRPr="0096502F" w:rsidRDefault="001E0B86" w:rsidP="001E0B8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:rsidR="00075321" w:rsidRDefault="00075321" w:rsidP="00C56CA3">
      <w:pPr>
        <w:pStyle w:val="Bezmezer"/>
        <w:rPr>
          <w:b/>
          <w:bCs/>
        </w:rPr>
      </w:pPr>
    </w:p>
    <w:p w:rsidR="001E0B86" w:rsidRPr="00075321" w:rsidRDefault="001E0B86" w:rsidP="00C56CA3">
      <w:pPr>
        <w:pStyle w:val="Bezmezer"/>
        <w:rPr>
          <w:b/>
          <w:bCs/>
        </w:rPr>
      </w:pPr>
    </w:p>
    <w:p w:rsidR="00530F17" w:rsidRPr="00A70D83" w:rsidRDefault="008F653F" w:rsidP="00C56CA3">
      <w:pPr>
        <w:pStyle w:val="Bezmezer"/>
        <w:rPr>
          <w:b/>
          <w:bCs/>
        </w:rPr>
      </w:pPr>
      <w:bookmarkStart w:id="4" w:name="zrizovatel"/>
      <w:r>
        <w:rPr>
          <w:b/>
          <w:bCs/>
        </w:rPr>
        <w:t>název zřizovatele</w:t>
      </w:r>
      <w:bookmarkEnd w:id="4"/>
    </w:p>
    <w:p w:rsidR="008F653F" w:rsidRDefault="008F653F" w:rsidP="00C56CA3">
      <w:pPr>
        <w:pStyle w:val="Bezmezer"/>
      </w:pPr>
      <w:bookmarkStart w:id="5" w:name="zrizovatel_nac"/>
      <w:r>
        <w:t xml:space="preserve">Adresa </w:t>
      </w:r>
      <w:proofErr w:type="gramStart"/>
      <w:r>
        <w:t>sídla:   sídlo</w:t>
      </w:r>
      <w:proofErr w:type="gramEnd"/>
    </w:p>
    <w:p w:rsidR="008F653F" w:rsidRDefault="008F653F" w:rsidP="00C56CA3">
      <w:pPr>
        <w:pStyle w:val="Bezmezer"/>
      </w:pPr>
      <w:r>
        <w:t>Identifikační číslo:    IČO</w:t>
      </w:r>
    </w:p>
    <w:p w:rsidR="008F653F" w:rsidRDefault="008F653F" w:rsidP="00C56CA3">
      <w:pPr>
        <w:pStyle w:val="Bezmezer"/>
      </w:pPr>
      <w:r>
        <w:t>DIČ:    DIČ</w:t>
      </w:r>
    </w:p>
    <w:p w:rsidR="008F653F" w:rsidRDefault="008F653F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8F653F" w:rsidRDefault="008F653F" w:rsidP="00C56CA3">
      <w:pPr>
        <w:pStyle w:val="Bezmezer"/>
      </w:pPr>
      <w:r>
        <w:t xml:space="preserve">Zastoupený: </w:t>
      </w:r>
      <w:proofErr w:type="spellStart"/>
      <w:r>
        <w:t>oprávněnáosoba</w:t>
      </w:r>
      <w:proofErr w:type="spellEnd"/>
    </w:p>
    <w:p w:rsidR="008F653F" w:rsidRDefault="008F653F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8F653F" w:rsidRDefault="008F653F" w:rsidP="00C56CA3">
      <w:pPr>
        <w:pStyle w:val="Bezmezer"/>
      </w:pPr>
      <w:r>
        <w:t>E -mail</w:t>
      </w:r>
      <w:r w:rsidR="00F91304">
        <w:rPr>
          <w:rFonts w:eastAsia="Times New Roman"/>
          <w:lang w:eastAsia="cs-CZ"/>
        </w:rPr>
        <w:t>/Datová schránka</w:t>
      </w:r>
      <w:r>
        <w:t xml:space="preserve">:        </w:t>
      </w:r>
      <w:proofErr w:type="spellStart"/>
      <w:r>
        <w:t>emailadresa</w:t>
      </w:r>
      <w:proofErr w:type="spellEnd"/>
    </w:p>
    <w:p w:rsidR="008F653F" w:rsidRDefault="008F653F" w:rsidP="00C56CA3">
      <w:pPr>
        <w:pStyle w:val="Bezmezer"/>
      </w:pPr>
    </w:p>
    <w:p w:rsidR="00075321" w:rsidRDefault="008F653F" w:rsidP="00C56CA3">
      <w:pPr>
        <w:pStyle w:val="Bezmezer"/>
      </w:pPr>
      <w:r>
        <w:lastRenderedPageBreak/>
        <w:t>(dále jen "zřizovatel")</w:t>
      </w:r>
      <w:bookmarkEnd w:id="5"/>
    </w:p>
    <w:p w:rsidR="001E0B86" w:rsidRPr="0096502F" w:rsidRDefault="001E0B86" w:rsidP="001E0B8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8F65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DA1D1E" w:rsidRPr="0096502F">
        <w:rPr>
          <w:rFonts w:eastAsia="Arial Unicode MS"/>
          <w:lang w:eastAsia="cs-CZ"/>
        </w:rPr>
        <w:t>Programem pro poskytování dotací</w:t>
      </w:r>
      <w:r w:rsidR="00DA1D1E">
        <w:rPr>
          <w:rFonts w:eastAsia="Arial Unicode MS"/>
          <w:lang w:eastAsia="cs-CZ"/>
        </w:rPr>
        <w:t xml:space="preserve"> z rozpočtu Karlovarského kraje na investiční podporu terénních a ambulantních sociálních služeb </w:t>
      </w:r>
      <w:r>
        <w:t>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493947" w:rsidRDefault="00493947" w:rsidP="00184FED">
      <w:pPr>
        <w:pStyle w:val="Normlnweb"/>
        <w:ind w:left="426"/>
        <w:jc w:val="both"/>
        <w:rPr>
          <w:sz w:val="22"/>
          <w:szCs w:val="22"/>
        </w:rPr>
      </w:pPr>
      <w:r w:rsidRPr="007200DA">
        <w:rPr>
          <w:sz w:val="22"/>
          <w:szCs w:val="22"/>
        </w:rPr>
        <w:t>Dotace se poskytuje na sociální službu:</w:t>
      </w:r>
      <w:r w:rsidR="00623BA1">
        <w:rPr>
          <w:sz w:val="22"/>
          <w:szCs w:val="22"/>
        </w:rPr>
        <w:tab/>
      </w:r>
      <w:r w:rsidR="00623BA1">
        <w:rPr>
          <w:sz w:val="22"/>
          <w:szCs w:val="22"/>
        </w:rPr>
        <w:tab/>
      </w:r>
      <w:r w:rsidR="00623BA1">
        <w:rPr>
          <w:sz w:val="22"/>
          <w:szCs w:val="22"/>
        </w:rPr>
        <w:tab/>
      </w:r>
      <w:r w:rsidR="00623BA1" w:rsidRPr="008859C6">
        <w:rPr>
          <w:color w:val="FF0000"/>
          <w:sz w:val="22"/>
          <w:szCs w:val="22"/>
          <w:highlight w:val="yellow"/>
        </w:rPr>
        <w:t>sociální služba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8F65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zřizovatele uvedený v záhlaví smlouvy. Platba bude opatřena variabilním symbolem uvedeným v odstavci 2. čl. II.</w:t>
      </w:r>
    </w:p>
    <w:p w:rsidR="008F653F" w:rsidRDefault="008F65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Zřizovatel se zavazuje do 10 pracovních dnů ode dne jejího připsání na účet zřizovatele převést dotaci na účet příjemce, uvedený v záhlaví smlouvy. Platba bude opatřena variabilním symbolem uvedeným v odstavci 2. čl. II.</w:t>
      </w:r>
    </w:p>
    <w:p w:rsidR="008F653F" w:rsidRDefault="008F65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365554" w:rsidRDefault="00365554" w:rsidP="0036555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365554" w:rsidRDefault="00365554" w:rsidP="00365554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365554" w:rsidRPr="005A01EE" w:rsidRDefault="00365554" w:rsidP="0036555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lastRenderedPageBreak/>
        <w:t xml:space="preserve">Dotace </w:t>
      </w:r>
      <w:r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>
        <w:rPr>
          <w:rFonts w:eastAsia="Arial Unicode MS"/>
          <w:lang w:eastAsia="cs-CZ"/>
        </w:rPr>
        <w:t>.</w:t>
      </w:r>
    </w:p>
    <w:p w:rsidR="00365554" w:rsidRDefault="00365554" w:rsidP="00365554">
      <w:pPr>
        <w:spacing w:after="0" w:line="240" w:lineRule="auto"/>
        <w:jc w:val="both"/>
        <w:rPr>
          <w:rFonts w:eastAsia="Times New Roman"/>
          <w:lang w:eastAsia="cs-CZ"/>
        </w:rPr>
      </w:pPr>
    </w:p>
    <w:p w:rsidR="00365554" w:rsidRPr="004A4271" w:rsidRDefault="00365554" w:rsidP="0036555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 lze uskutečnit pouze přímým nákupem.</w:t>
      </w:r>
    </w:p>
    <w:p w:rsidR="00365554" w:rsidRPr="004A4271" w:rsidRDefault="00365554" w:rsidP="00365554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365554" w:rsidRDefault="00365554" w:rsidP="00365554">
      <w:pPr>
        <w:numPr>
          <w:ilvl w:val="0"/>
          <w:numId w:val="4"/>
        </w:numPr>
        <w:spacing w:after="0" w:line="240" w:lineRule="auto"/>
        <w:jc w:val="both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8F653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F65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</w:t>
      </w:r>
      <w:r w:rsidR="00365554">
        <w:t xml:space="preserve"> 15. </w:t>
      </w:r>
      <w:r w:rsidR="004D40DB">
        <w:t>1</w:t>
      </w:r>
      <w:r w:rsidR="00365554">
        <w:t>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F65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 xml:space="preserve"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</w:t>
      </w:r>
      <w:r>
        <w:lastRenderedPageBreak/>
        <w:t>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F65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8F653F" w:rsidRDefault="008F653F" w:rsidP="00842E98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8F653F" w:rsidRDefault="008F653F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8F653F" w:rsidRDefault="008F653F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8F653F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8F65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8F65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lastRenderedPageBreak/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8F65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7459D2" w:rsidRDefault="007459D2" w:rsidP="007459D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lastRenderedPageBreak/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7459D2" w:rsidRDefault="007459D2" w:rsidP="007459D2">
      <w:pPr>
        <w:pStyle w:val="Odstavecseseznamem"/>
        <w:ind w:left="426"/>
        <w:jc w:val="both"/>
      </w:pPr>
    </w:p>
    <w:p w:rsidR="007459D2" w:rsidRDefault="007459D2" w:rsidP="007459D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</w:t>
      </w:r>
      <w:r>
        <w:t xml:space="preserve"> a 3</w:t>
      </w:r>
      <w:r w:rsidRPr="006D6502">
        <w:t>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7459D2" w:rsidRDefault="007459D2" w:rsidP="007459D2">
      <w:pPr>
        <w:pStyle w:val="Odstavecseseznamem"/>
        <w:ind w:left="426"/>
        <w:jc w:val="both"/>
      </w:pPr>
    </w:p>
    <w:p w:rsidR="007459D2" w:rsidRDefault="007459D2" w:rsidP="007459D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:rsidR="007459D2" w:rsidRDefault="007459D2" w:rsidP="007459D2">
      <w:pPr>
        <w:pStyle w:val="Odstavecseseznamem"/>
        <w:ind w:left="426"/>
        <w:jc w:val="both"/>
      </w:pPr>
    </w:p>
    <w:p w:rsidR="007459D2" w:rsidRDefault="007459D2" w:rsidP="007459D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7459D2" w:rsidRDefault="007459D2" w:rsidP="007459D2">
      <w:pPr>
        <w:pStyle w:val="Odstavecseseznamem"/>
        <w:ind w:left="426"/>
        <w:jc w:val="both"/>
      </w:pPr>
    </w:p>
    <w:p w:rsidR="007459D2" w:rsidRDefault="007459D2" w:rsidP="007459D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8F653F" w:rsidRDefault="008F65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8F653F" w:rsidRDefault="008F653F" w:rsidP="00206D8F">
      <w:pPr>
        <w:jc w:val="both"/>
      </w:pPr>
      <w:bookmarkStart w:id="19" w:name="mezPredClan10"/>
      <w:bookmarkEnd w:id="19"/>
      <w:r>
        <w:t xml:space="preserve"> </w:t>
      </w:r>
    </w:p>
    <w:p w:rsidR="008F653F" w:rsidRDefault="008F653F" w:rsidP="00206D8F">
      <w:pPr>
        <w:jc w:val="both"/>
      </w:pPr>
      <w:r>
        <w:t xml:space="preserve"> </w:t>
      </w:r>
    </w:p>
    <w:p w:rsidR="00206D8F" w:rsidRDefault="00206D8F" w:rsidP="00206D8F">
      <w:pPr>
        <w:jc w:val="both"/>
      </w:pPr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8F653F" w:rsidP="0031197E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0" w:name="clanek10od1"/>
      <w:r>
        <w:t>Příjemce</w:t>
      </w:r>
      <w:r w:rsidR="008E61F3">
        <w:t xml:space="preserve"> </w:t>
      </w:r>
      <w:bookmarkEnd w:id="20"/>
      <w:r w:rsidR="00881D36" w:rsidRPr="00881D36">
        <w:t xml:space="preserve">bere na vědomí, že je mu poskytována podpora de </w:t>
      </w:r>
      <w:proofErr w:type="spellStart"/>
      <w:r w:rsidR="00881D36" w:rsidRPr="00881D36">
        <w:t>minimis</w:t>
      </w:r>
      <w:proofErr w:type="spellEnd"/>
      <w:r w:rsidR="00881D36" w:rsidRPr="00881D36">
        <w:t xml:space="preserve"> (podpora malého rozsahu), a to v souladu s Nařízením Komise (ES) č. 1407/2013 ze dne 18. prosince 2013 o použití článků 107 a 108 Smlouvy o fungování Evropské unie na podporu de </w:t>
      </w:r>
      <w:proofErr w:type="spellStart"/>
      <w:r w:rsidR="00881D36" w:rsidRPr="00881D36">
        <w:t>minimis</w:t>
      </w:r>
      <w:proofErr w:type="spellEnd"/>
      <w:r w:rsidR="00881D36" w:rsidRPr="00881D36">
        <w:t>, publikovaném v Úředním věstníku L č.352/2013 na straně 1 (dále jen „Nařízení komise“).</w:t>
      </w:r>
    </w:p>
    <w:p w:rsidR="00206D8F" w:rsidRDefault="00206D8F" w:rsidP="00206D8F">
      <w:pPr>
        <w:pStyle w:val="Odstavecseseznamem"/>
        <w:ind w:left="426"/>
        <w:jc w:val="both"/>
      </w:pPr>
    </w:p>
    <w:p w:rsidR="00206D8F" w:rsidRDefault="008F653F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v předchozích 3 fiskálních letech od data účinnosti této smlouvy podporu de </w:t>
      </w:r>
      <w:proofErr w:type="spellStart"/>
      <w:r>
        <w:t>minimis</w:t>
      </w:r>
      <w:proofErr w:type="spellEnd"/>
      <w:r>
        <w:t xml:space="preserve"> a celková výše podpory de </w:t>
      </w:r>
      <w:proofErr w:type="spellStart"/>
      <w:r>
        <w:t>minimis</w:t>
      </w:r>
      <w:proofErr w:type="spellEnd"/>
      <w:r>
        <w:t xml:space="preserve">, kterou tak s poskytovanou dotací přijme, nepřesáhne </w:t>
      </w:r>
      <w:r w:rsidR="002E7473">
        <w:t>2</w:t>
      </w:r>
      <w:r>
        <w:t>00.000 EUR.</w:t>
      </w:r>
    </w:p>
    <w:p w:rsidR="008E61F3" w:rsidRDefault="008E61F3" w:rsidP="008E61F3">
      <w:pPr>
        <w:pStyle w:val="Odstavecseseznamem"/>
        <w:ind w:left="426"/>
        <w:jc w:val="both"/>
      </w:pPr>
    </w:p>
    <w:p w:rsidR="008F653F" w:rsidRDefault="008F653F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r>
        <w:t>Kurz pro přepočet částky do CZK je stanovený Evropskou centrální bankou zveřejňovaný na webových stránkách ECB ke dni podpisu smlouvy.</w:t>
      </w:r>
    </w:p>
    <w:p w:rsidR="008E61F3" w:rsidRDefault="008E61F3" w:rsidP="008E61F3">
      <w:pPr>
        <w:pStyle w:val="Odstavecseseznamem"/>
        <w:ind w:left="426"/>
        <w:jc w:val="both"/>
      </w:pPr>
    </w:p>
    <w:p w:rsidR="008F653F" w:rsidRDefault="008F653F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21"/>
    </w:p>
    <w:p w:rsidR="00A4036C" w:rsidRDefault="00A4036C" w:rsidP="00A4036C">
      <w:bookmarkStart w:id="22" w:name="mezPredClan1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7F346A" w:rsidRDefault="008F653F" w:rsidP="007F346A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4 vyhotoveních, z nichž 2 obdrží poskytovatel, 1 zřizovatel a 1 příjemce.</w:t>
      </w:r>
      <w:bookmarkEnd w:id="23"/>
    </w:p>
    <w:p w:rsidR="007F346A" w:rsidRDefault="007F346A" w:rsidP="007F346A">
      <w:pPr>
        <w:jc w:val="both"/>
        <w:rPr>
          <w:rFonts w:eastAsia="Times New Roman"/>
          <w:lang w:eastAsia="cs-CZ"/>
        </w:rPr>
      </w:pPr>
      <w:r w:rsidRPr="007F346A">
        <w:rPr>
          <w:b/>
        </w:rPr>
        <w:t>4.</w:t>
      </w:r>
      <w:r>
        <w:rPr>
          <w:b/>
        </w:rPr>
        <w:t xml:space="preserve">     </w:t>
      </w:r>
      <w:r>
        <w:rPr>
          <w:rFonts w:eastAsia="Times New Roman"/>
          <w:lang w:eastAsia="cs-CZ"/>
        </w:rPr>
        <w:t>Smlouva nabývá účinnosti dnem podpisu smluvních stran.</w:t>
      </w:r>
    </w:p>
    <w:p w:rsidR="005D62D5" w:rsidRDefault="007F346A" w:rsidP="007F346A">
      <w:pPr>
        <w:jc w:val="both"/>
      </w:pPr>
      <w:r>
        <w:rPr>
          <w:rFonts w:eastAsia="Times New Roman"/>
          <w:lang w:eastAsia="cs-CZ"/>
        </w:rPr>
        <w:t xml:space="preserve">       </w:t>
      </w:r>
      <w:r>
        <w:rPr>
          <w:rFonts w:eastAsia="Times New Roman"/>
          <w:i/>
          <w:lang w:eastAsia="cs-CZ"/>
        </w:rPr>
        <w:t>nebo</w:t>
      </w: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8F653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:rsidR="00AD3D0F" w:rsidRDefault="00AD3D0F" w:rsidP="00AD3D0F">
      <w:pPr>
        <w:pStyle w:val="Odstavecseseznamem"/>
        <w:ind w:left="426"/>
        <w:jc w:val="both"/>
      </w:pPr>
    </w:p>
    <w:p w:rsidR="00AD3D0F" w:rsidRDefault="00AD3D0F" w:rsidP="00AD3D0F">
      <w:pPr>
        <w:pStyle w:val="Odstavecseseznamem"/>
        <w:numPr>
          <w:ilvl w:val="0"/>
          <w:numId w:val="16"/>
        </w:numPr>
        <w:ind w:left="426" w:hanging="426"/>
        <w:jc w:val="both"/>
      </w:pPr>
      <w:r w:rsidRPr="00AD3D0F">
        <w:t>Příjemce a poskytovatel se vzájemně dohodli, že upřednostňují elektronickou formu dokumentů (tj. veřejnoprávní smlouva o poskytnutí dotace z rozpočtu Karlovarského kraje, formulář finanční vypořádání, doklady a přílohy k finančnímu vypořádání budou mít formu elektronického dokumentu opatřeného kvalifikovaným elektronickým podpisem případně také časovým razítkem, pokud je to relevantní) a vzájemnou komunikaci elektronickou formou (tj. datová zpráva informačního systému datových schránek, e-mailová zpráva odeslaná na adresu elektronické podatelny poskytovatele epodatelna@kr-karlovarsky.cz).</w:t>
      </w:r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proofErr w:type="gramStart"/>
      <w:r w:rsidRPr="008B7D08">
        <w:rPr>
          <w:highlight w:val="yellow"/>
        </w:rPr>
        <w:t>místo</w:t>
      </w:r>
      <w:r>
        <w:t>)...…</w:t>
      </w:r>
      <w:proofErr w:type="gramEnd"/>
      <w:r>
        <w:t>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C36930" w:rsidP="00C36930">
      <w:pPr>
        <w:pStyle w:val="Odstavecseseznamem"/>
        <w:ind w:left="426"/>
        <w:jc w:val="both"/>
      </w:pPr>
      <w:r w:rsidRPr="008B7D08">
        <w:rPr>
          <w:sz w:val="18"/>
          <w:szCs w:val="18"/>
          <w:highlight w:val="yellow"/>
        </w:rPr>
        <w:t>Oprávněná osoba za kraj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bookmarkStart w:id="25" w:name="podpisVar"/>
      <w:proofErr w:type="spellStart"/>
      <w:r w:rsidR="008F653F">
        <w:rPr>
          <w:sz w:val="18"/>
          <w:szCs w:val="18"/>
        </w:rPr>
        <w:t>statutártní_zástupce_nebo_oprávněná_osoba</w:t>
      </w:r>
      <w:bookmarkEnd w:id="25"/>
      <w:proofErr w:type="spellEnd"/>
    </w:p>
    <w:p w:rsidR="00C36930" w:rsidRDefault="00C36930" w:rsidP="00C36930">
      <w:pPr>
        <w:pStyle w:val="Odstavecseseznamem"/>
        <w:ind w:left="426"/>
        <w:jc w:val="both"/>
      </w:pPr>
      <w:r>
        <w:t xml:space="preserve"> (</w:t>
      </w:r>
      <w:proofErr w:type="gramStart"/>
      <w:r>
        <w:t>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</w:t>
      </w:r>
      <w:proofErr w:type="gramEnd"/>
      <w:r>
        <w:t>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8F653F" w:rsidRDefault="008F653F" w:rsidP="00C36930">
      <w:pPr>
        <w:pStyle w:val="Odstavecseseznamem"/>
        <w:ind w:left="426"/>
        <w:jc w:val="both"/>
      </w:pPr>
      <w:bookmarkStart w:id="26" w:name="podpisVar1"/>
      <w:r>
        <w:t xml:space="preserve">                                                                                   ………(</w:t>
      </w:r>
      <w:proofErr w:type="gramStart"/>
      <w:r>
        <w:t>místo)...…</w:t>
      </w:r>
      <w:proofErr w:type="gramEnd"/>
      <w:r>
        <w:t>… Dne</w:t>
      </w:r>
    </w:p>
    <w:p w:rsidR="008F653F" w:rsidRDefault="008F653F" w:rsidP="00C36930">
      <w:pPr>
        <w:pStyle w:val="Odstavecseseznamem"/>
        <w:ind w:left="426"/>
        <w:jc w:val="both"/>
      </w:pPr>
    </w:p>
    <w:p w:rsidR="008F653F" w:rsidRDefault="008F653F" w:rsidP="00C36930">
      <w:pPr>
        <w:pStyle w:val="Odstavecseseznamem"/>
        <w:ind w:left="426"/>
        <w:jc w:val="both"/>
      </w:pPr>
    </w:p>
    <w:p w:rsidR="008F653F" w:rsidRDefault="008F653F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……………………</w:t>
      </w:r>
    </w:p>
    <w:p w:rsidR="008F653F" w:rsidRDefault="008F653F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</w:t>
      </w:r>
      <w:proofErr w:type="spellStart"/>
      <w:r>
        <w:t>oprávněná_osoba</w:t>
      </w:r>
      <w:proofErr w:type="spellEnd"/>
    </w:p>
    <w:p w:rsidR="008F653F" w:rsidRDefault="008F653F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   (příjemce)</w:t>
      </w:r>
    </w:p>
    <w:p w:rsidR="008F653F" w:rsidRDefault="008F653F" w:rsidP="00C36930">
      <w:pPr>
        <w:pStyle w:val="Odstavecseseznamem"/>
        <w:ind w:left="426"/>
        <w:jc w:val="both"/>
      </w:pPr>
    </w:p>
    <w:p w:rsidR="00DF7C40" w:rsidRDefault="008F653F" w:rsidP="00C36930">
      <w:pPr>
        <w:pStyle w:val="Odstavecseseznamem"/>
        <w:ind w:left="426"/>
        <w:jc w:val="both"/>
      </w:pPr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60BA2DF0"/>
    <w:lvl w:ilvl="0" w:tplc="C18A80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F"/>
    <w:rsid w:val="00003A86"/>
    <w:rsid w:val="00004F27"/>
    <w:rsid w:val="00007A75"/>
    <w:rsid w:val="00011258"/>
    <w:rsid w:val="0002214C"/>
    <w:rsid w:val="00022E30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B259B"/>
    <w:rsid w:val="001E0B86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2BA8"/>
    <w:rsid w:val="002B787A"/>
    <w:rsid w:val="002D2C83"/>
    <w:rsid w:val="002E5AB9"/>
    <w:rsid w:val="002E7473"/>
    <w:rsid w:val="002F0529"/>
    <w:rsid w:val="00306254"/>
    <w:rsid w:val="00320F70"/>
    <w:rsid w:val="00334011"/>
    <w:rsid w:val="00335E00"/>
    <w:rsid w:val="0033698E"/>
    <w:rsid w:val="00365554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93947"/>
    <w:rsid w:val="004C1581"/>
    <w:rsid w:val="004C1E0B"/>
    <w:rsid w:val="004D40D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23BA1"/>
    <w:rsid w:val="00631370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459D2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7F346A"/>
    <w:rsid w:val="00803DF9"/>
    <w:rsid w:val="00814EA5"/>
    <w:rsid w:val="008206E6"/>
    <w:rsid w:val="00842E98"/>
    <w:rsid w:val="008548AB"/>
    <w:rsid w:val="0086353B"/>
    <w:rsid w:val="0087019E"/>
    <w:rsid w:val="00881D36"/>
    <w:rsid w:val="00891229"/>
    <w:rsid w:val="0089301E"/>
    <w:rsid w:val="008940FE"/>
    <w:rsid w:val="008955F3"/>
    <w:rsid w:val="008A3A51"/>
    <w:rsid w:val="008A79D1"/>
    <w:rsid w:val="008C0F3A"/>
    <w:rsid w:val="008C41AB"/>
    <w:rsid w:val="008D6535"/>
    <w:rsid w:val="008E580C"/>
    <w:rsid w:val="008E61F3"/>
    <w:rsid w:val="008F513C"/>
    <w:rsid w:val="008F653F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73BC3"/>
    <w:rsid w:val="00A95676"/>
    <w:rsid w:val="00AB58D7"/>
    <w:rsid w:val="00AC6637"/>
    <w:rsid w:val="00AC7E8D"/>
    <w:rsid w:val="00AD33A7"/>
    <w:rsid w:val="00AD3D0F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7B5"/>
    <w:rsid w:val="00C6283E"/>
    <w:rsid w:val="00C67C88"/>
    <w:rsid w:val="00C808C8"/>
    <w:rsid w:val="00CB56B6"/>
    <w:rsid w:val="00CC2411"/>
    <w:rsid w:val="00CE4049"/>
    <w:rsid w:val="00CE4780"/>
    <w:rsid w:val="00CE4B80"/>
    <w:rsid w:val="00D1220E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1D1E"/>
    <w:rsid w:val="00DA6B5B"/>
    <w:rsid w:val="00DB19F4"/>
    <w:rsid w:val="00DB260B"/>
    <w:rsid w:val="00DC0AC1"/>
    <w:rsid w:val="00DC45BA"/>
    <w:rsid w:val="00DC4B2D"/>
    <w:rsid w:val="00DD752F"/>
    <w:rsid w:val="00DE029D"/>
    <w:rsid w:val="00DF7C40"/>
    <w:rsid w:val="00E049FC"/>
    <w:rsid w:val="00E315C0"/>
    <w:rsid w:val="00E32717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1304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0EB02-AF0F-408F-AEA5-20BF5C1C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45F27-5F1B-413F-A787-4986AB8DC15C}"/>
</file>

<file path=customXml/itemProps2.xml><?xml version="1.0" encoding="utf-8"?>
<ds:datastoreItem xmlns:ds="http://schemas.openxmlformats.org/officeDocument/2006/customXml" ds:itemID="{3B050A78-99C3-425F-8234-CE4104918A07}"/>
</file>

<file path=customXml/itemProps3.xml><?xml version="1.0" encoding="utf-8"?>
<ds:datastoreItem xmlns:ds="http://schemas.openxmlformats.org/officeDocument/2006/customXml" ds:itemID="{7F5A98B7-5116-4875-8C30-769C7FEE58C2}"/>
</file>

<file path=customXml/itemProps4.xml><?xml version="1.0" encoding="utf-8"?>
<ds:datastoreItem xmlns:ds="http://schemas.openxmlformats.org/officeDocument/2006/customXml" ds:itemID="{B94BCF45-7705-4601-8B17-BF4E45030132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8</Pages>
  <Words>2882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6c k usnesení z 38. zasedání Rady Karlovarského kraje, které se uskutečnilo dne 23.08.2021 (k bodu č. 37)</dc:title>
  <dc:subject/>
  <dc:creator>Mottl Michal</dc:creator>
  <cp:keywords/>
  <dc:description/>
  <cp:lastModifiedBy>Kroupová Petra</cp:lastModifiedBy>
  <cp:revision>2</cp:revision>
  <dcterms:created xsi:type="dcterms:W3CDTF">2021-08-23T11:15:00Z</dcterms:created>
  <dcterms:modified xsi:type="dcterms:W3CDTF">2021-08-23T11:15:00Z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