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149E3" w:rsidRPr="00D12571">
        <w:rPr>
          <w:rFonts w:eastAsia="Times New Roman"/>
          <w:bCs/>
          <w:lang w:eastAsia="cs-CZ"/>
        </w:rPr>
        <w:t xml:space="preserve">Ing. Jan Bureš, DBA, </w:t>
      </w:r>
      <w:r w:rsidR="005149E3" w:rsidRPr="00D12571">
        <w:rPr>
          <w:rFonts w:eastAsia="Times New Roman"/>
          <w:lang w:eastAsia="cs-CZ"/>
        </w:rPr>
        <w:t>náměstek hejtmana Karlovarského kraje</w:t>
      </w:r>
    </w:p>
    <w:p w:rsidR="009908CC" w:rsidRDefault="009908CC" w:rsidP="00306254">
      <w:pPr>
        <w:rPr>
          <w:b/>
          <w:sz w:val="24"/>
          <w:szCs w:val="24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8D7CFF" w:rsidRDefault="008D7CFF" w:rsidP="00C56CA3">
      <w:pPr>
        <w:pStyle w:val="Bezmezer"/>
      </w:pPr>
      <w:bookmarkStart w:id="1" w:name="Banka"/>
      <w:r>
        <w:t xml:space="preserve">       Komerční banka, a.s.                               číslo účtu    27-5622800267/0100</w:t>
      </w:r>
    </w:p>
    <w:p w:rsidR="008D7CFF" w:rsidRDefault="008D7CFF" w:rsidP="00C56CA3">
      <w:pPr>
        <w:pStyle w:val="Bezmezer"/>
      </w:pPr>
      <w:r>
        <w:t>případně další účty:</w:t>
      </w:r>
    </w:p>
    <w:p w:rsidR="008D7CFF" w:rsidRDefault="008D7CFF" w:rsidP="00C56CA3">
      <w:pPr>
        <w:pStyle w:val="Bezmezer"/>
      </w:pPr>
      <w:r>
        <w:t xml:space="preserve">       Československá obchodní banka, a.s.     číslo účtu    197889578/0300</w:t>
      </w:r>
    </w:p>
    <w:p w:rsidR="008D7CFF" w:rsidRDefault="008D7CFF" w:rsidP="00C56CA3">
      <w:pPr>
        <w:pStyle w:val="Bezmezer"/>
      </w:pPr>
      <w:r>
        <w:t xml:space="preserve">       Česká spořitelna, a.s.                               číslo účtu    7613272/0800</w:t>
      </w:r>
    </w:p>
    <w:p w:rsidR="008D7CFF" w:rsidRDefault="008D7CFF" w:rsidP="00C56CA3">
      <w:pPr>
        <w:pStyle w:val="Bezmezer"/>
      </w:pPr>
      <w:r>
        <w:t xml:space="preserve">       PPF banka, a.s.                                        číslo účtu    2022990024/6000</w:t>
      </w:r>
    </w:p>
    <w:bookmarkEnd w:id="1"/>
    <w:p w:rsidR="00C04C7E" w:rsidRPr="00335E00" w:rsidRDefault="00C04C7E" w:rsidP="00C56CA3">
      <w:pPr>
        <w:pStyle w:val="Bezmezer"/>
      </w:pPr>
    </w:p>
    <w:p w:rsidR="00335E00" w:rsidRPr="00335E00" w:rsidRDefault="00335E00" w:rsidP="00C56CA3">
      <w:pPr>
        <w:pStyle w:val="Bezmezer"/>
      </w:pPr>
    </w:p>
    <w:p w:rsidR="00335E00" w:rsidRPr="00335E00" w:rsidRDefault="00335E00" w:rsidP="00306254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BA653A" w:rsidRDefault="008D7CFF" w:rsidP="00C56CA3">
      <w:pPr>
        <w:pStyle w:val="Bezmezer"/>
        <w:rPr>
          <w:b/>
          <w:bCs/>
        </w:rPr>
      </w:pPr>
      <w:bookmarkStart w:id="2" w:name="zadatel"/>
      <w:r>
        <w:rPr>
          <w:b/>
          <w:bCs/>
        </w:rPr>
        <w:t>obchodní firma</w:t>
      </w:r>
      <w:bookmarkEnd w:id="2"/>
    </w:p>
    <w:p w:rsidR="008D7CFF" w:rsidRDefault="008D7CFF" w:rsidP="00C56CA3">
      <w:pPr>
        <w:pStyle w:val="Bezmezer"/>
      </w:pPr>
      <w:bookmarkStart w:id="3" w:name="zadatel_nac"/>
      <w:r>
        <w:t>Adresa sídla:   adresasídla</w:t>
      </w:r>
    </w:p>
    <w:p w:rsidR="008D7CFF" w:rsidRDefault="008D7CFF" w:rsidP="00C56CA3">
      <w:pPr>
        <w:pStyle w:val="Bezmezer"/>
      </w:pPr>
      <w:r>
        <w:t>Identifikační číslo:    IČO</w:t>
      </w:r>
    </w:p>
    <w:p w:rsidR="008D7CFF" w:rsidRDefault="008D7CFF" w:rsidP="00C56CA3">
      <w:pPr>
        <w:pStyle w:val="Bezmezer"/>
      </w:pPr>
      <w:r>
        <w:t>DIČ:    DIČ</w:t>
      </w:r>
    </w:p>
    <w:p w:rsidR="008D7CFF" w:rsidRDefault="008D7CFF" w:rsidP="00C56CA3">
      <w:pPr>
        <w:pStyle w:val="Bezmezer"/>
      </w:pPr>
      <w:r>
        <w:t>Právní forma:   právníforma</w:t>
      </w:r>
    </w:p>
    <w:p w:rsidR="008D7CFF" w:rsidRDefault="008D7CFF" w:rsidP="00C56CA3">
      <w:pPr>
        <w:pStyle w:val="Bezmezer"/>
      </w:pPr>
      <w:r>
        <w:t>Zastoupený: statutárnízástupce_nebo_oprávněnáosoba</w:t>
      </w:r>
    </w:p>
    <w:p w:rsidR="008D7CFF" w:rsidRDefault="008D7CFF" w:rsidP="00C56CA3">
      <w:pPr>
        <w:pStyle w:val="Bezmezer"/>
      </w:pPr>
      <w:r>
        <w:t>Bankovní spojení:   banka                   číslo účtu: čísloúčtu/kódbanky</w:t>
      </w:r>
    </w:p>
    <w:p w:rsidR="008D7CFF" w:rsidRDefault="008D7CFF" w:rsidP="00C56CA3">
      <w:pPr>
        <w:pStyle w:val="Bezmezer"/>
      </w:pPr>
      <w:r>
        <w:t>E -mail:        emailadresa</w:t>
      </w:r>
    </w:p>
    <w:p w:rsidR="00075321" w:rsidRPr="00A70D83" w:rsidRDefault="008D7CFF" w:rsidP="00C56CA3">
      <w:pPr>
        <w:pStyle w:val="Bezmezer"/>
      </w:pPr>
      <w:r>
        <w:t>Je plátce DPH a DPH je/není uznatelným výdajem./Není plátce DPH a DPH je uznatelným výdajem.</w:t>
      </w:r>
      <w:bookmarkEnd w:id="3"/>
    </w:p>
    <w:p w:rsidR="00075321" w:rsidRPr="00075321" w:rsidRDefault="00075321" w:rsidP="00C56CA3">
      <w:pPr>
        <w:pStyle w:val="Bezmezer"/>
        <w:rPr>
          <w:b/>
          <w:bCs/>
        </w:rPr>
      </w:pPr>
      <w:r>
        <w:rPr>
          <w:b/>
          <w:bCs/>
        </w:rPr>
        <w:t>-</w:t>
      </w:r>
    </w:p>
    <w:p w:rsidR="00530F17" w:rsidRPr="00A70D83" w:rsidRDefault="00530F17" w:rsidP="00C56CA3">
      <w:pPr>
        <w:pStyle w:val="Bezmezer"/>
        <w:rPr>
          <w:b/>
          <w:bCs/>
        </w:rPr>
      </w:pPr>
      <w:bookmarkStart w:id="4" w:name="zrizovatel"/>
      <w:bookmarkEnd w:id="4"/>
    </w:p>
    <w:p w:rsidR="00075321" w:rsidRDefault="00075321" w:rsidP="00C56CA3">
      <w:pPr>
        <w:pStyle w:val="Bezmezer"/>
      </w:pPr>
      <w:bookmarkStart w:id="5" w:name="zrizovatel_nac"/>
      <w:bookmarkEnd w:id="5"/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8D7CFF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6" w:name="clanek1od1"/>
      <w:r>
        <w:t>V souladu se zákony č. 129/2000 Sb., o krajích (krajské zřízení), ve znění pozdějších předpisů, a č. 250/2000 Sb., o rozpočtových pravidlech územních rozpočtů, ve znění pozdějších předpisů (dále také "RPÚR") a v souladu s Programem pro poskytování dotací z rozpočtu Karlovarského kraje názevprogramu (dále jen "dotační program") poskytovatel poskytuje příjemci dotaci na účel uvedený v článku II. smlouvy a příjemce tuto dotaci přijímá.</w:t>
      </w:r>
      <w:bookmarkEnd w:id="6"/>
    </w:p>
    <w:p w:rsidR="00184FED" w:rsidRDefault="00184FED" w:rsidP="00184FED">
      <w:bookmarkStart w:id="7" w:name="mezPredClan2"/>
      <w:bookmarkEnd w:id="7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rok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:rsidR="00184FED" w:rsidRPr="0096502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variabilnísymbol</w:t>
      </w:r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8D7CF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:rsidR="008D7CFF" w:rsidRDefault="008D7CF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:rsidR="00004F27" w:rsidRDefault="00004F27" w:rsidP="00004F27">
      <w:pPr>
        <w:pStyle w:val="Odstavecseseznamem"/>
        <w:ind w:left="426"/>
      </w:pPr>
    </w:p>
    <w:p w:rsidR="00184FED" w:rsidRDefault="00184FED" w:rsidP="00184FED"/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631370" w:rsidRDefault="00CB56B6" w:rsidP="00CB56B6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="00B224DD">
        <w:rPr>
          <w:rFonts w:eastAsia="Times New Roman"/>
          <w:lang w:eastAsia="cs-CZ"/>
        </w:rPr>
        <w:t>do</w:t>
      </w:r>
      <w:r w:rsidR="005149E3">
        <w:rPr>
          <w:rFonts w:eastAsia="Times New Roman"/>
          <w:lang w:eastAsia="cs-CZ"/>
        </w:rPr>
        <w:t xml:space="preserve"> </w:t>
      </w:r>
      <w:r w:rsidR="00077C85">
        <w:rPr>
          <w:rFonts w:eastAsia="Times New Roman"/>
          <w:lang w:eastAsia="cs-CZ"/>
        </w:rPr>
        <w:t>31. 12. 2021</w:t>
      </w:r>
      <w:r w:rsidRPr="00CB56B6">
        <w:rPr>
          <w:rFonts w:eastAsia="Times New Roman"/>
          <w:lang w:eastAsia="cs-CZ"/>
        </w:rPr>
        <w:t>. Vyčerpáním se rozumí datum ode</w:t>
      </w:r>
      <w:r w:rsidR="0073555C"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</w:p>
    <w:p w:rsidR="00CB56B6" w:rsidRDefault="00CB56B6" w:rsidP="00CB56B6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CB56B6" w:rsidRDefault="002F0529" w:rsidP="00CB56B6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Příjemce je dále povinen:</w:t>
      </w:r>
    </w:p>
    <w:p w:rsidR="002F0529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077C85" w:rsidRPr="00F641C1" w:rsidRDefault="00077C85" w:rsidP="00077C85">
      <w:pPr>
        <w:spacing w:after="0" w:line="240" w:lineRule="auto"/>
        <w:ind w:left="426"/>
        <w:jc w:val="both"/>
        <w:rPr>
          <w:rFonts w:eastAsia="Arial Unicode MS"/>
          <w:lang w:eastAsia="cs-CZ"/>
        </w:rPr>
      </w:pPr>
      <w:bookmarkStart w:id="9" w:name="mezPredClan5"/>
      <w:bookmarkEnd w:id="9"/>
      <w:r w:rsidRPr="00F641C1">
        <w:rPr>
          <w:rFonts w:eastAsia="Arial Unicode MS"/>
          <w:lang w:eastAsia="cs-CZ"/>
        </w:rPr>
        <w:t>Příjemce se zavazuje poskytnutou dotací použít na podporu obnovy stávajících a vznik nových dopravních hřišť.</w:t>
      </w:r>
    </w:p>
    <w:p w:rsidR="008D7CFF" w:rsidRDefault="008D7CFF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8D7CFF" w:rsidRDefault="008D7CFF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:rsidR="008D7CFF" w:rsidRDefault="008D7CFF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:rsidR="008D7CFF" w:rsidRDefault="008D7CFF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:rsidR="008D7CFF" w:rsidRDefault="008D7CFF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:rsidR="002F0529" w:rsidRPr="00CB56B6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184FED" w:rsidRDefault="008D7CFF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1"/>
      <w:r>
        <w:t>Příjemce je povinen řídit se Vyhlášením a pravidly pro příjem a hodnocení žádostí, poskytnutí a finanční vypořádání dotace z rozpočtu Karlovarského kraje programu uvedeného v odst. 1 čl. I. schválenými Radou Karlovarského kraje usnesením číslo usnesení ze dne datum, zveřejněnými na úřední desce poskytovatele a touto smlouvou.</w:t>
      </w:r>
      <w:bookmarkEnd w:id="10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lastRenderedPageBreak/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8D7CF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6"/>
      <w:r>
        <w:t>Dotace podléhá finančnímu vypořádání. Příjemce je povinen provést a předložit administrujícímu odboru prostřednictvím podatelny poskytovatele závěrečné finanční vypořádání dotace na předepsaném formuláři, které příjemce opatří svým podpisem, a to nejpozději do datum (např. do 15 pracovních dnů od doby ukončení akce/projektu/činnosti nebo jen do datum),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11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8D7CF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2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8D7CF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3" w:name="clanek5od8"/>
      <w:r>
        <w:t>Spolu s finančním vypořádáním dotace je příjemce povinen předložit administrujícímu odboru:</w:t>
      </w:r>
      <w:bookmarkEnd w:id="13"/>
    </w:p>
    <w:p w:rsidR="008D7CFF" w:rsidRDefault="008D7CFF" w:rsidP="00D27BEB">
      <w:pPr>
        <w:pStyle w:val="Odstavecseseznamem"/>
        <w:ind w:left="426"/>
        <w:jc w:val="both"/>
      </w:pPr>
      <w:bookmarkStart w:id="14" w:name="clanek5od8odr"/>
      <w:r>
        <w:t xml:space="preserve">   a) vyhodnocení použití poskytnuté dotace s popisem realizace a zhodnocením realizovaných aktivit (v případě individuální dotace; u programové dotace jen pokud je požadováno ve Vyhlášení a pravidlech pro příjem a hodnocení žádostí, poskytnutí a finanční vypořádání dotace z rozpočtu Karlovarského kraje příslušného programu);</w:t>
      </w:r>
    </w:p>
    <w:p w:rsidR="008D7CFF" w:rsidRDefault="008D7CFF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:rsidR="008D7CFF" w:rsidRDefault="008D7CFF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:rsidR="00D27BEB" w:rsidRDefault="008D7CFF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4"/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</w:t>
      </w:r>
      <w:r>
        <w:lastRenderedPageBreak/>
        <w:t>úspěšně provede alespoň jednu zvolenou formu propagace. V případě propagace prostřednictvím webových stránek, umístí příjemce na web aktivní odkaz www.kr-karlovarsky.cz.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D27BEB" w:rsidRDefault="00D27BEB" w:rsidP="00A4036C">
      <w:pPr>
        <w:ind w:left="-10"/>
        <w:jc w:val="both"/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A4036C" w:rsidP="00A4036C">
      <w:pPr>
        <w:ind w:left="-10"/>
        <w:jc w:val="both"/>
      </w:pPr>
    </w:p>
    <w:p w:rsidR="00A4036C" w:rsidRDefault="008D7CF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Před vrácením nevyčerpaných finančních prostředků zpět na účet poskytovatele je příjemce o této skutečnosti povinen informovat administrující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8D7CF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5"/>
    </w:p>
    <w:p w:rsidR="00A4036C" w:rsidRDefault="00A4036C" w:rsidP="00A4036C">
      <w:pPr>
        <w:pStyle w:val="Odstavecseseznamem"/>
        <w:ind w:left="426"/>
      </w:pPr>
    </w:p>
    <w:p w:rsidR="00A4036C" w:rsidRDefault="008D7CF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6" w:name="clanek6od6"/>
      <w:bookmarkStart w:id="17" w:name="clanek6od1"/>
      <w:bookmarkEnd w:id="16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7"/>
    </w:p>
    <w:p w:rsidR="00A4036C" w:rsidRDefault="00A4036C" w:rsidP="00A4036C"/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A4036C" w:rsidRDefault="00A4036C" w:rsidP="00A4036C"/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Default="006D6502" w:rsidP="006D6502">
      <w:pPr>
        <w:jc w:val="both"/>
      </w:pP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6D6502" w:rsidRDefault="006D6502" w:rsidP="006D6502">
      <w:pPr>
        <w:pStyle w:val="Odstavecseseznamem"/>
        <w:ind w:left="426"/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</w:t>
      </w:r>
      <w:r w:rsidRPr="006D6502">
        <w:lastRenderedPageBreak/>
        <w:t>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:rsidR="00D33415" w:rsidRDefault="00D33415" w:rsidP="00D33415">
      <w:pPr>
        <w:ind w:left="66"/>
        <w:jc w:val="both"/>
      </w:pP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ind w:left="6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8D7CFF" w:rsidRDefault="008D7CFF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8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End w:id="18"/>
    </w:p>
    <w:p w:rsidR="00206D8F" w:rsidRDefault="00206D8F" w:rsidP="00206D8F">
      <w:pPr>
        <w:jc w:val="both"/>
      </w:pPr>
      <w:bookmarkStart w:id="19" w:name="mezPredClan10"/>
      <w:bookmarkEnd w:id="19"/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206D8F" w:rsidRDefault="008D7CFF" w:rsidP="00240774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20" w:name="clanek10od1"/>
      <w:r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20"/>
    </w:p>
    <w:p w:rsidR="00206D8F" w:rsidRDefault="00206D8F" w:rsidP="00206D8F">
      <w:pPr>
        <w:pStyle w:val="Odstavecseseznamem"/>
        <w:ind w:left="426"/>
        <w:jc w:val="both"/>
      </w:pPr>
    </w:p>
    <w:p w:rsidR="00206D8F" w:rsidRDefault="008D7CFF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1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End w:id="21"/>
    </w:p>
    <w:p w:rsidR="00A4036C" w:rsidRDefault="00A4036C" w:rsidP="00A4036C">
      <w:bookmarkStart w:id="22" w:name="mezPredClan11"/>
      <w:bookmarkEnd w:id="22"/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5D62D5" w:rsidRDefault="005D62D5" w:rsidP="00A4036C"/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Příjemce je povinen bez zbytečného prodlení písemně informovat administrující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8D7CFF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3" w:name="clanek11od3"/>
      <w:r>
        <w:t>Smlouva je vyhotovena ve 3 vyhotoveních, z nichž 2 obdrží poskytovatel a 1 příjemce.</w:t>
      </w:r>
      <w:bookmarkEnd w:id="23"/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8D7CFF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4" w:name="clanek11od6"/>
      <w:r>
        <w:t>O poskytnutí dotace a uzavření veřejnoprávní smlouvy rozhodlo v souladu s ustanovením § 36 písm. c) příp. d) zákona č. 129/2000 Sb., o krajích (krajské zřízení), ve znění pozdějších předpisů, Zastupitelstvo Karlovarského kraje usnesením č. ZK usnesení ze dne datum.</w:t>
      </w:r>
      <w:bookmarkEnd w:id="24"/>
    </w:p>
    <w:p w:rsidR="00CE4049" w:rsidRDefault="00CE4049" w:rsidP="00CE4049">
      <w:pPr>
        <w:pStyle w:val="Odstavecseseznamem"/>
        <w:ind w:left="426"/>
        <w:jc w:val="both"/>
      </w:pPr>
    </w:p>
    <w:p w:rsidR="00C36930" w:rsidRDefault="00C36930" w:rsidP="00CE4049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r w:rsidRPr="008B7D08">
        <w:rPr>
          <w:highlight w:val="yellow"/>
        </w:rPr>
        <w:t>místo</w:t>
      </w:r>
      <w:r>
        <w:t>)...…… Dne</w:t>
      </w:r>
    </w:p>
    <w:p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36930" w:rsidRDefault="00C36930" w:rsidP="00C36930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:rsidR="00C36930" w:rsidRPr="00C36930" w:rsidRDefault="00C36930" w:rsidP="00C36930">
      <w:pPr>
        <w:pStyle w:val="Odstavecseseznamem"/>
        <w:ind w:left="426"/>
        <w:jc w:val="both"/>
      </w:pPr>
      <w:r w:rsidRPr="008B7D08">
        <w:rPr>
          <w:sz w:val="18"/>
          <w:szCs w:val="18"/>
          <w:highlight w:val="yellow"/>
        </w:rPr>
        <w:t>Oprávněná osoba za kraj</w:t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bookmarkStart w:id="25" w:name="podpisVar"/>
      <w:r w:rsidR="008D7CFF">
        <w:rPr>
          <w:sz w:val="18"/>
          <w:szCs w:val="18"/>
        </w:rPr>
        <w:t>statutártní_zástupce_nebo_oprávněná_osoba</w:t>
      </w:r>
      <w:bookmarkEnd w:id="25"/>
    </w:p>
    <w:p w:rsidR="00C36930" w:rsidRDefault="00C36930" w:rsidP="00C36930">
      <w:pPr>
        <w:pStyle w:val="Odstavecseseznamem"/>
        <w:ind w:left="426"/>
        <w:jc w:val="both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8D7CFF" w:rsidP="00C36930">
      <w:pPr>
        <w:pStyle w:val="Odstavecseseznamem"/>
        <w:ind w:left="426"/>
        <w:jc w:val="both"/>
      </w:pPr>
      <w:bookmarkStart w:id="26" w:name="podpisVar1"/>
      <w:r>
        <w:t>Přílohy:</w:t>
      </w:r>
      <w:bookmarkEnd w:id="26"/>
    </w:p>
    <w:p w:rsidR="00C36930" w:rsidRDefault="00C36930" w:rsidP="00CE4049">
      <w:pPr>
        <w:pStyle w:val="Odstavecseseznamem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FF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4527"/>
    <w:rsid w:val="00075321"/>
    <w:rsid w:val="00077C85"/>
    <w:rsid w:val="000C242D"/>
    <w:rsid w:val="000C5EFA"/>
    <w:rsid w:val="000E4E4E"/>
    <w:rsid w:val="00146ABA"/>
    <w:rsid w:val="00160A4E"/>
    <w:rsid w:val="00180964"/>
    <w:rsid w:val="00183F96"/>
    <w:rsid w:val="00184FED"/>
    <w:rsid w:val="001B259B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74183"/>
    <w:rsid w:val="00292765"/>
    <w:rsid w:val="0029680B"/>
    <w:rsid w:val="002A0A52"/>
    <w:rsid w:val="002B787A"/>
    <w:rsid w:val="002D2C83"/>
    <w:rsid w:val="002E5AB9"/>
    <w:rsid w:val="002F0529"/>
    <w:rsid w:val="00306254"/>
    <w:rsid w:val="00320F70"/>
    <w:rsid w:val="00334011"/>
    <w:rsid w:val="00335E00"/>
    <w:rsid w:val="0033698E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401B"/>
    <w:rsid w:val="0041654A"/>
    <w:rsid w:val="004236AF"/>
    <w:rsid w:val="00440945"/>
    <w:rsid w:val="004527A2"/>
    <w:rsid w:val="00453EBA"/>
    <w:rsid w:val="00462729"/>
    <w:rsid w:val="00464638"/>
    <w:rsid w:val="0049110A"/>
    <w:rsid w:val="004C1581"/>
    <w:rsid w:val="004C1E0B"/>
    <w:rsid w:val="004F482A"/>
    <w:rsid w:val="005043B3"/>
    <w:rsid w:val="00511128"/>
    <w:rsid w:val="005149E3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92516"/>
    <w:rsid w:val="005A12F4"/>
    <w:rsid w:val="005A36EE"/>
    <w:rsid w:val="005A56B9"/>
    <w:rsid w:val="005C770F"/>
    <w:rsid w:val="005D62D5"/>
    <w:rsid w:val="005D7991"/>
    <w:rsid w:val="00605973"/>
    <w:rsid w:val="00631370"/>
    <w:rsid w:val="006424DA"/>
    <w:rsid w:val="00656BBB"/>
    <w:rsid w:val="006604F0"/>
    <w:rsid w:val="00682BC1"/>
    <w:rsid w:val="006D31E0"/>
    <w:rsid w:val="006D6502"/>
    <w:rsid w:val="006F0A6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7DAA"/>
    <w:rsid w:val="007C3CBA"/>
    <w:rsid w:val="007F0619"/>
    <w:rsid w:val="00803DF9"/>
    <w:rsid w:val="00814EA5"/>
    <w:rsid w:val="008206E6"/>
    <w:rsid w:val="008548AB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D6535"/>
    <w:rsid w:val="008D7CFF"/>
    <w:rsid w:val="008E580C"/>
    <w:rsid w:val="008F513C"/>
    <w:rsid w:val="008F66FB"/>
    <w:rsid w:val="008F67F2"/>
    <w:rsid w:val="008F7700"/>
    <w:rsid w:val="00912A88"/>
    <w:rsid w:val="0093794E"/>
    <w:rsid w:val="00946FE5"/>
    <w:rsid w:val="0095183F"/>
    <w:rsid w:val="00963D94"/>
    <w:rsid w:val="0099045B"/>
    <w:rsid w:val="009908CC"/>
    <w:rsid w:val="009922D2"/>
    <w:rsid w:val="009F4CC0"/>
    <w:rsid w:val="009F7CCF"/>
    <w:rsid w:val="00A06B17"/>
    <w:rsid w:val="00A24D7C"/>
    <w:rsid w:val="00A4036C"/>
    <w:rsid w:val="00A43A8F"/>
    <w:rsid w:val="00A55537"/>
    <w:rsid w:val="00A562B2"/>
    <w:rsid w:val="00A70D83"/>
    <w:rsid w:val="00A95676"/>
    <w:rsid w:val="00AB58D7"/>
    <w:rsid w:val="00AC6637"/>
    <w:rsid w:val="00AC7E8D"/>
    <w:rsid w:val="00AD33A7"/>
    <w:rsid w:val="00B224DD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B56B6"/>
    <w:rsid w:val="00CC2411"/>
    <w:rsid w:val="00CE4049"/>
    <w:rsid w:val="00CE4780"/>
    <w:rsid w:val="00CE4B80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45BA"/>
    <w:rsid w:val="00DC4B2D"/>
    <w:rsid w:val="00DD752F"/>
    <w:rsid w:val="00DF7C40"/>
    <w:rsid w:val="00E049FC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957F1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7C291-A24F-4C07-96EA-0BD6CB13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17329-936F-447A-BEED-A9B84353F972}"/>
</file>

<file path=customXml/itemProps2.xml><?xml version="1.0" encoding="utf-8"?>
<ds:datastoreItem xmlns:ds="http://schemas.openxmlformats.org/officeDocument/2006/customXml" ds:itemID="{3345DF17-CBFD-4D6A-97F8-E7FF50991D0C}"/>
</file>

<file path=customXml/itemProps3.xml><?xml version="1.0" encoding="utf-8"?>
<ds:datastoreItem xmlns:ds="http://schemas.openxmlformats.org/officeDocument/2006/customXml" ds:itemID="{D4288912-E57B-4F71-89A8-D12DD69756AA}"/>
</file>

<file path=customXml/itemProps4.xml><?xml version="1.0" encoding="utf-8"?>
<ds:datastoreItem xmlns:ds="http://schemas.openxmlformats.org/officeDocument/2006/customXml" ds:itemID="{6D79E24A-DCCD-486A-9EE4-DAE281289966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</TotalTime>
  <Pages>7</Pages>
  <Words>2522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k usnesení z 30. zasedání Rady Karlovarského kraje, které se uskutečnilo dne 21.06.2021 (k bodu č. 16)</dc:title>
  <dc:subject/>
  <dc:creator>Mottl Michal</dc:creator>
  <cp:keywords/>
  <dc:description/>
  <cp:lastModifiedBy>Palusková Petra</cp:lastModifiedBy>
  <cp:revision>2</cp:revision>
  <dcterms:created xsi:type="dcterms:W3CDTF">2021-06-22T05:55:00Z</dcterms:created>
  <dcterms:modified xsi:type="dcterms:W3CDTF">2021-06-22T05:55:00Z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