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DFCE9C8" w:rsidR="00CC11A9" w:rsidRPr="00F40594" w:rsidRDefault="00EA1DD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rFonts w:eastAsia="Times New Roman"/>
          <w:b/>
          <w:bCs/>
          <w:color w:val="FF0000"/>
          <w:highlight w:val="yellow"/>
          <w:lang w:eastAsia="cs-CZ"/>
        </w:rPr>
        <w:t>obec</w:t>
      </w:r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r w:rsidRPr="005178F2">
        <w:rPr>
          <w:rFonts w:eastAsia="Times New Roman"/>
          <w:color w:val="FF0000"/>
          <w:highlight w:val="yellow"/>
          <w:lang w:eastAsia="cs-CZ"/>
        </w:rPr>
        <w:t>/</w:t>
      </w:r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</w:p>
    <w:p w14:paraId="458C6585" w14:textId="77777777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A1DD8" w:rsidRPr="00C95498">
        <w:rPr>
          <w:sz w:val="22"/>
          <w:szCs w:val="22"/>
        </w:rPr>
        <w:t>2023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77777777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Pr="0096502F">
        <w:rPr>
          <w:color w:val="FF0000"/>
          <w:sz w:val="22"/>
          <w:szCs w:val="22"/>
          <w:highlight w:val="yellow"/>
        </w:rPr>
        <w:t>slovy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5C205532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5F7135DB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A372F2" w:rsidRPr="00BC3F18" w14:paraId="7DF17CDB" w14:textId="77777777" w:rsidTr="00223117">
        <w:tc>
          <w:tcPr>
            <w:tcW w:w="4316" w:type="dxa"/>
            <w:shd w:val="clear" w:color="auto" w:fill="auto"/>
          </w:tcPr>
          <w:p w14:paraId="5201AC40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2539F81B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3BEFEA04" w14:textId="77777777" w:rsidR="00A372F2" w:rsidRPr="00976A8F" w:rsidRDefault="00A372F2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A372F2" w:rsidRPr="00BC3F18" w14:paraId="7B41A03C" w14:textId="77777777" w:rsidTr="00223117">
        <w:tc>
          <w:tcPr>
            <w:tcW w:w="4316" w:type="dxa"/>
            <w:shd w:val="clear" w:color="auto" w:fill="auto"/>
          </w:tcPr>
          <w:p w14:paraId="344FE2DB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2900" w:type="dxa"/>
            <w:shd w:val="clear" w:color="auto" w:fill="auto"/>
          </w:tcPr>
          <w:p w14:paraId="77BECACA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  <w:tc>
          <w:tcPr>
            <w:tcW w:w="1494" w:type="dxa"/>
            <w:shd w:val="clear" w:color="auto" w:fill="auto"/>
          </w:tcPr>
          <w:p w14:paraId="6D76A26A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1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>informace o časovém využívání a přístupnosti (v případě pořízení nabíjecí stanice pro elektrokola).</w:t>
      </w:r>
    </w:p>
    <w:bookmarkEnd w:id="1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1FFF25D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1 – Listinná smlouva</w:t>
      </w:r>
    </w:p>
    <w:p w14:paraId="50F7475B" w14:textId="77777777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Pr="0096502F">
        <w:rPr>
          <w:rFonts w:eastAsia="Times New Roman"/>
          <w:color w:val="FF0000"/>
          <w:highlight w:val="yellow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Pr="0096502F">
        <w:rPr>
          <w:rFonts w:eastAsia="Times New Roman"/>
          <w:color w:val="FF0000"/>
          <w:highlight w:val="yellow"/>
          <w:lang w:eastAsia="cs-CZ"/>
        </w:rPr>
        <w:t>2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96502F">
        <w:rPr>
          <w:rFonts w:eastAsia="Times New Roman"/>
          <w:color w:val="FF0000"/>
          <w:highlight w:val="yellow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0082694B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545FBD71" w:rsidR="00BD446B" w:rsidRPr="00C95498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b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  <w:r w:rsidR="00C314B6">
        <w:rPr>
          <w:rFonts w:eastAsia="Times New Roman"/>
          <w:i/>
          <w:lang w:eastAsia="cs-CZ"/>
        </w:rPr>
        <w:t xml:space="preserve"> - </w:t>
      </w:r>
      <w:r w:rsidR="00C314B6">
        <w:rPr>
          <w:rFonts w:eastAsia="Times New Roman"/>
          <w:b/>
          <w:i/>
          <w:lang w:eastAsia="cs-CZ"/>
        </w:rPr>
        <w:t>ORP</w:t>
      </w:r>
    </w:p>
    <w:p w14:paraId="3137B014" w14:textId="4CFBE68D" w:rsidR="00BD446B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314B6">
        <w:rPr>
          <w:rFonts w:eastAsia="Times New Roman"/>
          <w:lang w:eastAsia="cs-CZ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</w:t>
      </w:r>
      <w:r w:rsidR="001817D7" w:rsidRPr="00C314B6">
        <w:rPr>
          <w:rFonts w:eastAsia="Times New Roman"/>
          <w:lang w:eastAsia="cs-CZ"/>
        </w:rPr>
        <w:t xml:space="preserve">zveřejnění </w:t>
      </w:r>
      <w:r w:rsidRPr="00C314B6">
        <w:rPr>
          <w:rFonts w:eastAsia="Times New Roman"/>
          <w:lang w:eastAsia="cs-CZ"/>
        </w:rPr>
        <w:t xml:space="preserve">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C314B6">
        <w:rPr>
          <w:rFonts w:eastAsia="Times New Roman"/>
          <w:lang w:eastAsia="cs-CZ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14:paraId="091BFB83" w14:textId="77777777" w:rsidR="00C314B6" w:rsidRPr="0048169D" w:rsidRDefault="00C314B6" w:rsidP="00C314B6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bookmarkStart w:id="2" w:name="_Hlk129173732"/>
      <w:r w:rsidRPr="0048169D">
        <w:rPr>
          <w:rFonts w:eastAsia="Times New Roman"/>
          <w:i/>
          <w:lang w:eastAsia="cs-CZ"/>
        </w:rPr>
        <w:t>Varianta – Hodnota smlouvy je nad 50.000 Kč</w:t>
      </w:r>
      <w:r>
        <w:rPr>
          <w:rFonts w:eastAsia="Times New Roman"/>
          <w:i/>
          <w:lang w:eastAsia="cs-CZ"/>
        </w:rPr>
        <w:t xml:space="preserve"> </w:t>
      </w: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395890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223117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223117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223117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7F019C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0F5C24DC" w:rsidR="00300D1B" w:rsidRPr="00300D1B" w:rsidRDefault="007F019C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C8">
                  <w:rPr>
                    <w:rFonts w:ascii="MS Gothic" w:eastAsia="MS Gothic" w:hAnsi="MS Gothic" w:hint="eastAsia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7F019C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7F019C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223117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223117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223117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223117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223117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223117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223117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223117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223117" w:rsidRPr="00C9579B" w:rsidRDefault="00223117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7018CB"/>
    <w:rsid w:val="0071229F"/>
    <w:rsid w:val="007153E3"/>
    <w:rsid w:val="007A26B7"/>
    <w:rsid w:val="007C424F"/>
    <w:rsid w:val="007F019C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C6F84"/>
    <w:rsid w:val="00A07F55"/>
    <w:rsid w:val="00A201B4"/>
    <w:rsid w:val="00A22E47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81ED01-316C-4D47-B0D7-1027E3B1C26A}"/>
</file>

<file path=customXml/itemProps2.xml><?xml version="1.0" encoding="utf-8"?>
<ds:datastoreItem xmlns:ds="http://schemas.openxmlformats.org/officeDocument/2006/customXml" ds:itemID="{07165C05-E5A6-4679-9922-3CA877B1981B}"/>
</file>

<file path=customXml/itemProps3.xml><?xml version="1.0" encoding="utf-8"?>
<ds:datastoreItem xmlns:ds="http://schemas.openxmlformats.org/officeDocument/2006/customXml" ds:itemID="{4CD0CC25-B92B-4877-B965-46EEF0CA5B38}"/>
</file>

<file path=customXml/itemProps4.xml><?xml version="1.0" encoding="utf-8"?>
<ds:datastoreItem xmlns:ds="http://schemas.openxmlformats.org/officeDocument/2006/customXml" ds:itemID="{92B3C17F-D39A-47B6-B471-BCB09FE5D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2541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4 k usnesení ze 136. zasedání Rady Karlovarského kraje, které se uskutečnilo dne 22.05.2023 (k bodu č. 62)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2023-05-23T08:47:00Z</dcterms:created>
  <dcterms:modified xsi:type="dcterms:W3CDTF">2023-05-23T08:47:00Z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