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A72" w:rsidRDefault="00E37A72" w:rsidP="00E37A72">
      <w:pPr>
        <w:spacing w:after="0"/>
        <w:jc w:val="center"/>
        <w:rPr>
          <w:rFonts w:ascii="Arial" w:hAnsi="Arial" w:cs="Arial"/>
          <w:b/>
          <w:sz w:val="20"/>
          <w:szCs w:val="20"/>
          <w:u w:val="single"/>
        </w:rPr>
      </w:pPr>
    </w:p>
    <w:p w:rsidR="00E37A72" w:rsidRDefault="00E37A72" w:rsidP="00E37A72">
      <w:pPr>
        <w:spacing w:after="0"/>
        <w:jc w:val="center"/>
        <w:rPr>
          <w:rFonts w:ascii="Arial" w:hAnsi="Arial" w:cs="Arial"/>
          <w:b/>
          <w:sz w:val="20"/>
          <w:szCs w:val="20"/>
          <w:u w:val="single"/>
        </w:rPr>
      </w:pPr>
      <w:bookmarkStart w:id="0" w:name="_GoBack"/>
      <w:r w:rsidRPr="00E37A72">
        <w:rPr>
          <w:rFonts w:ascii="Arial" w:hAnsi="Arial" w:cs="Arial"/>
          <w:b/>
          <w:sz w:val="20"/>
          <w:szCs w:val="20"/>
          <w:u w:val="single"/>
        </w:rPr>
        <w:t>Souhlas dle ustanovení § 184a SZ a postavení SVJ jako stavebníka</w:t>
      </w:r>
    </w:p>
    <w:bookmarkEnd w:id="0"/>
    <w:p w:rsidR="00E37A72" w:rsidRDefault="00E37A72" w:rsidP="00E37A72">
      <w:pPr>
        <w:spacing w:after="0"/>
        <w:jc w:val="both"/>
        <w:rPr>
          <w:rFonts w:ascii="Arial" w:hAnsi="Arial" w:cs="Arial"/>
          <w:b/>
          <w:sz w:val="20"/>
          <w:szCs w:val="20"/>
          <w:u w:val="single"/>
        </w:rPr>
      </w:pPr>
    </w:p>
    <w:p w:rsidR="00E37A72" w:rsidRDefault="00E37A72" w:rsidP="00E37A72">
      <w:pPr>
        <w:spacing w:after="0"/>
        <w:jc w:val="both"/>
        <w:rPr>
          <w:rFonts w:ascii="Arial" w:hAnsi="Arial" w:cs="Arial"/>
          <w:b/>
          <w:sz w:val="20"/>
          <w:szCs w:val="20"/>
          <w:u w:val="single"/>
        </w:rPr>
      </w:pPr>
    </w:p>
    <w:p w:rsidR="00042700" w:rsidRPr="00042700" w:rsidRDefault="00E37A72" w:rsidP="00042700">
      <w:pPr>
        <w:spacing w:after="0"/>
        <w:jc w:val="both"/>
        <w:rPr>
          <w:rFonts w:ascii="Arial" w:hAnsi="Arial" w:cs="Arial"/>
          <w:bCs/>
          <w:sz w:val="20"/>
          <w:szCs w:val="20"/>
        </w:rPr>
      </w:pPr>
      <w:r>
        <w:rPr>
          <w:rFonts w:ascii="Arial" w:hAnsi="Arial" w:cs="Arial"/>
          <w:sz w:val="20"/>
          <w:szCs w:val="20"/>
        </w:rPr>
        <w:t xml:space="preserve">Tento právní názor </w:t>
      </w:r>
      <w:r w:rsidR="00EC212A">
        <w:rPr>
          <w:rFonts w:ascii="Arial" w:hAnsi="Arial" w:cs="Arial"/>
          <w:sz w:val="20"/>
          <w:szCs w:val="20"/>
        </w:rPr>
        <w:t>vychází z rozsudku Nejvyššího správního soudu (dále jen „NSS“)</w:t>
      </w:r>
      <w:r w:rsidR="00EC212A" w:rsidRPr="00EC212A">
        <w:rPr>
          <w:rFonts w:ascii="Arial" w:hAnsi="Arial" w:cs="Arial"/>
          <w:b/>
          <w:bCs/>
          <w:color w:val="2F5496" w:themeColor="accent5" w:themeShade="BF"/>
          <w:sz w:val="20"/>
          <w:szCs w:val="20"/>
        </w:rPr>
        <w:t xml:space="preserve"> </w:t>
      </w:r>
      <w:r w:rsidR="00EC212A" w:rsidRPr="00EC212A">
        <w:rPr>
          <w:rFonts w:ascii="Arial" w:hAnsi="Arial" w:cs="Arial"/>
          <w:bCs/>
          <w:sz w:val="20"/>
          <w:szCs w:val="20"/>
        </w:rPr>
        <w:t>ze dne 11. 5. 2022</w:t>
      </w:r>
      <w:r w:rsidR="00E771DF">
        <w:rPr>
          <w:rFonts w:ascii="Arial" w:hAnsi="Arial" w:cs="Arial"/>
          <w:bCs/>
          <w:sz w:val="20"/>
          <w:szCs w:val="20"/>
        </w:rPr>
        <w:t>,</w:t>
      </w:r>
      <w:r w:rsidR="00EC212A" w:rsidRPr="00EC212A">
        <w:rPr>
          <w:rFonts w:ascii="Arial" w:hAnsi="Arial" w:cs="Arial"/>
          <w:bCs/>
          <w:sz w:val="20"/>
          <w:szCs w:val="20"/>
        </w:rPr>
        <w:t xml:space="preserve"> č.</w:t>
      </w:r>
      <w:r w:rsidR="0020404A">
        <w:rPr>
          <w:rFonts w:ascii="Arial" w:hAnsi="Arial" w:cs="Arial"/>
          <w:bCs/>
          <w:sz w:val="20"/>
          <w:szCs w:val="20"/>
        </w:rPr>
        <w:t xml:space="preserve"> </w:t>
      </w:r>
      <w:r w:rsidR="00EC212A" w:rsidRPr="00EC212A">
        <w:rPr>
          <w:rFonts w:ascii="Arial" w:hAnsi="Arial" w:cs="Arial"/>
          <w:bCs/>
          <w:sz w:val="20"/>
          <w:szCs w:val="20"/>
        </w:rPr>
        <w:t>j. 6 As 126/2020</w:t>
      </w:r>
      <w:r w:rsidR="0020404A">
        <w:rPr>
          <w:rFonts w:ascii="Arial" w:hAnsi="Arial" w:cs="Arial"/>
          <w:bCs/>
          <w:sz w:val="20"/>
          <w:szCs w:val="20"/>
        </w:rPr>
        <w:t xml:space="preserve"> a klíčovým způsobem vnáší nový pohled na souhlasy společenství vlastníků</w:t>
      </w:r>
      <w:r w:rsidR="00E771DF">
        <w:rPr>
          <w:rFonts w:ascii="Arial" w:hAnsi="Arial" w:cs="Arial"/>
          <w:bCs/>
          <w:sz w:val="20"/>
          <w:szCs w:val="20"/>
        </w:rPr>
        <w:t xml:space="preserve"> </w:t>
      </w:r>
      <w:r w:rsidR="00EF6320">
        <w:rPr>
          <w:rFonts w:ascii="Arial" w:hAnsi="Arial" w:cs="Arial"/>
          <w:bCs/>
          <w:sz w:val="20"/>
          <w:szCs w:val="20"/>
        </w:rPr>
        <w:br/>
      </w:r>
      <w:r w:rsidR="00E771DF">
        <w:rPr>
          <w:rFonts w:ascii="Arial" w:hAnsi="Arial" w:cs="Arial"/>
          <w:bCs/>
          <w:sz w:val="20"/>
          <w:szCs w:val="20"/>
        </w:rPr>
        <w:t xml:space="preserve">dle ustanovení § 184a zákona č. 183/2006 Sb., o územním plánování a stavebním řádu (stavební zákon), ve znění pozdějších předpisů. </w:t>
      </w:r>
      <w:r w:rsidR="00042700" w:rsidRPr="00042700">
        <w:t xml:space="preserve"> </w:t>
      </w:r>
    </w:p>
    <w:p w:rsidR="00EC212A" w:rsidRDefault="00EC212A" w:rsidP="00042700">
      <w:pPr>
        <w:spacing w:after="0"/>
        <w:jc w:val="both"/>
        <w:rPr>
          <w:rFonts w:ascii="Arial" w:hAnsi="Arial" w:cs="Arial"/>
          <w:bCs/>
          <w:sz w:val="20"/>
          <w:szCs w:val="20"/>
        </w:rPr>
      </w:pPr>
    </w:p>
    <w:p w:rsidR="0020404A" w:rsidRDefault="0020404A" w:rsidP="00EC212A">
      <w:pPr>
        <w:spacing w:after="0"/>
        <w:jc w:val="both"/>
        <w:rPr>
          <w:rFonts w:ascii="Arial" w:hAnsi="Arial" w:cs="Arial"/>
          <w:bCs/>
          <w:sz w:val="20"/>
          <w:szCs w:val="20"/>
        </w:rPr>
      </w:pP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9062"/>
      </w:tblGrid>
      <w:tr w:rsidR="0020404A" w:rsidRPr="0020404A" w:rsidTr="0020404A">
        <w:tc>
          <w:tcPr>
            <w:tcW w:w="9062" w:type="dxa"/>
          </w:tcPr>
          <w:p w:rsidR="0020404A" w:rsidRPr="0020404A" w:rsidRDefault="0020404A" w:rsidP="005D758B">
            <w:pPr>
              <w:jc w:val="both"/>
              <w:rPr>
                <w:rFonts w:ascii="Arial" w:hAnsi="Arial" w:cs="Arial"/>
                <w:sz w:val="20"/>
                <w:szCs w:val="20"/>
              </w:rPr>
            </w:pPr>
          </w:p>
        </w:tc>
      </w:tr>
      <w:tr w:rsidR="0020404A" w:rsidRPr="0020404A" w:rsidTr="0020404A">
        <w:tc>
          <w:tcPr>
            <w:tcW w:w="9062" w:type="dxa"/>
          </w:tcPr>
          <w:p w:rsidR="00042700" w:rsidRDefault="00042700" w:rsidP="00042700">
            <w:pPr>
              <w:jc w:val="both"/>
              <w:rPr>
                <w:rFonts w:ascii="Arial" w:hAnsi="Arial" w:cs="Arial"/>
                <w:b/>
                <w:bCs/>
                <w:sz w:val="20"/>
                <w:szCs w:val="20"/>
              </w:rPr>
            </w:pPr>
            <w:r w:rsidRPr="00042700">
              <w:rPr>
                <w:rFonts w:ascii="Arial" w:hAnsi="Arial" w:cs="Arial"/>
                <w:b/>
                <w:bCs/>
                <w:sz w:val="20"/>
                <w:szCs w:val="20"/>
              </w:rPr>
              <w:t>Rozsudek NSS ze dne 11. 5.2022 č. j. 6 As 126/2020</w:t>
            </w:r>
          </w:p>
          <w:p w:rsidR="00EF6320" w:rsidRPr="00042700" w:rsidRDefault="00EF6320" w:rsidP="00042700">
            <w:pPr>
              <w:jc w:val="both"/>
              <w:rPr>
                <w:rFonts w:ascii="Arial" w:hAnsi="Arial" w:cs="Arial"/>
                <w:b/>
                <w:bCs/>
                <w:sz w:val="20"/>
                <w:szCs w:val="20"/>
              </w:rPr>
            </w:pPr>
          </w:p>
          <w:p w:rsidR="00EF6320" w:rsidRDefault="00EF6320" w:rsidP="00EF6320">
            <w:pPr>
              <w:jc w:val="both"/>
              <w:rPr>
                <w:rFonts w:ascii="Arial" w:hAnsi="Arial" w:cs="Arial"/>
                <w:b/>
                <w:bCs/>
                <w:sz w:val="20"/>
                <w:szCs w:val="20"/>
              </w:rPr>
            </w:pPr>
            <w:r w:rsidRPr="00042700">
              <w:rPr>
                <w:rFonts w:ascii="Arial" w:hAnsi="Arial" w:cs="Arial"/>
                <w:b/>
                <w:bCs/>
                <w:sz w:val="20"/>
                <w:szCs w:val="20"/>
              </w:rPr>
              <w:t>Stavební řízení: souhlas společenství vlastníků jednotek k žádosti o povolení změny dokončené stavby</w:t>
            </w:r>
          </w:p>
          <w:p w:rsidR="009F28DA" w:rsidRDefault="009F28DA" w:rsidP="005D758B">
            <w:pPr>
              <w:jc w:val="both"/>
              <w:rPr>
                <w:rFonts w:ascii="Arial" w:hAnsi="Arial" w:cs="Arial"/>
                <w:b/>
                <w:bCs/>
                <w:sz w:val="20"/>
                <w:szCs w:val="20"/>
              </w:rPr>
            </w:pPr>
          </w:p>
          <w:p w:rsidR="0020404A" w:rsidRPr="00042700" w:rsidRDefault="00042700" w:rsidP="005D758B">
            <w:pPr>
              <w:jc w:val="both"/>
              <w:rPr>
                <w:rFonts w:ascii="Arial" w:hAnsi="Arial" w:cs="Arial"/>
                <w:b/>
                <w:bCs/>
                <w:sz w:val="20"/>
                <w:szCs w:val="20"/>
              </w:rPr>
            </w:pPr>
            <w:r w:rsidRPr="00042700">
              <w:rPr>
                <w:rFonts w:ascii="Arial" w:hAnsi="Arial" w:cs="Arial"/>
                <w:b/>
                <w:bCs/>
                <w:sz w:val="20"/>
                <w:szCs w:val="20"/>
              </w:rPr>
              <w:t>P</w:t>
            </w:r>
            <w:r w:rsidR="0020404A" w:rsidRPr="00042700">
              <w:rPr>
                <w:rFonts w:ascii="Arial" w:hAnsi="Arial" w:cs="Arial"/>
                <w:b/>
                <w:bCs/>
                <w:sz w:val="20"/>
                <w:szCs w:val="20"/>
              </w:rPr>
              <w:t>rávní věta:</w:t>
            </w:r>
          </w:p>
        </w:tc>
      </w:tr>
      <w:tr w:rsidR="0020404A" w:rsidRPr="0020404A" w:rsidTr="0020404A">
        <w:tc>
          <w:tcPr>
            <w:tcW w:w="9062" w:type="dxa"/>
          </w:tcPr>
          <w:p w:rsidR="0020404A" w:rsidRDefault="0020404A" w:rsidP="005D758B">
            <w:pPr>
              <w:jc w:val="both"/>
              <w:rPr>
                <w:rFonts w:ascii="Arial" w:hAnsi="Arial" w:cs="Arial"/>
                <w:bCs/>
                <w:sz w:val="20"/>
                <w:szCs w:val="20"/>
              </w:rPr>
            </w:pPr>
            <w:r w:rsidRPr="0020404A">
              <w:rPr>
                <w:rFonts w:ascii="Arial" w:hAnsi="Arial" w:cs="Arial"/>
                <w:bCs/>
                <w:sz w:val="20"/>
                <w:szCs w:val="20"/>
              </w:rPr>
              <w:t xml:space="preserve">I. Souhlas společenství vlastníků dle § 184a zákona č. 183/2006 Sb., o územním plánování </w:t>
            </w:r>
            <w:r w:rsidRPr="0020404A">
              <w:rPr>
                <w:rFonts w:ascii="Arial" w:hAnsi="Arial" w:cs="Arial"/>
                <w:bCs/>
                <w:sz w:val="20"/>
                <w:szCs w:val="20"/>
              </w:rPr>
              <w:br/>
              <w:t xml:space="preserve">a stavebním řádu, ve znění účinném od 1. 1. 2018, k žádosti o povolení změny dokončené stavby </w:t>
            </w:r>
            <w:r w:rsidR="00042700">
              <w:rPr>
                <w:rFonts w:ascii="Arial" w:hAnsi="Arial" w:cs="Arial"/>
                <w:bCs/>
                <w:sz w:val="20"/>
                <w:szCs w:val="20"/>
              </w:rPr>
              <w:br/>
            </w:r>
            <w:r w:rsidRPr="0020404A">
              <w:rPr>
                <w:rFonts w:ascii="Arial" w:hAnsi="Arial" w:cs="Arial"/>
                <w:bCs/>
                <w:sz w:val="20"/>
                <w:szCs w:val="20"/>
              </w:rPr>
              <w:t>v bytovém spoluvlastnictví je udílen osobou oprávněnou jednat za společenství vlastníků.</w:t>
            </w:r>
          </w:p>
          <w:p w:rsidR="0020404A" w:rsidRPr="0020404A" w:rsidRDefault="0020404A" w:rsidP="005D758B">
            <w:pPr>
              <w:jc w:val="both"/>
              <w:rPr>
                <w:rFonts w:ascii="Arial" w:hAnsi="Arial" w:cs="Arial"/>
                <w:bCs/>
                <w:sz w:val="20"/>
                <w:szCs w:val="20"/>
              </w:rPr>
            </w:pPr>
          </w:p>
        </w:tc>
      </w:tr>
      <w:tr w:rsidR="0020404A" w:rsidRPr="0020404A" w:rsidTr="0020404A">
        <w:tc>
          <w:tcPr>
            <w:tcW w:w="9062" w:type="dxa"/>
          </w:tcPr>
          <w:p w:rsidR="0020404A" w:rsidRPr="0020404A" w:rsidRDefault="0020404A" w:rsidP="005D758B">
            <w:pPr>
              <w:jc w:val="both"/>
              <w:rPr>
                <w:rFonts w:ascii="Arial" w:hAnsi="Arial" w:cs="Arial"/>
                <w:b/>
                <w:bCs/>
                <w:sz w:val="20"/>
                <w:szCs w:val="20"/>
              </w:rPr>
            </w:pPr>
            <w:r w:rsidRPr="0020404A">
              <w:rPr>
                <w:rFonts w:ascii="Arial" w:hAnsi="Arial" w:cs="Arial"/>
                <w:bCs/>
                <w:sz w:val="20"/>
                <w:szCs w:val="20"/>
              </w:rPr>
              <w:t xml:space="preserve">II. </w:t>
            </w:r>
            <w:r w:rsidRPr="0020404A">
              <w:rPr>
                <w:rFonts w:ascii="Arial" w:hAnsi="Arial" w:cs="Arial"/>
                <w:b/>
                <w:bCs/>
                <w:sz w:val="20"/>
                <w:szCs w:val="20"/>
              </w:rPr>
              <w:t>Je-li žadatelem o stavební povolení společenství vlastníků, není třeba</w:t>
            </w:r>
            <w:r w:rsidRPr="0020404A">
              <w:rPr>
                <w:rFonts w:ascii="Arial" w:hAnsi="Arial" w:cs="Arial"/>
                <w:bCs/>
                <w:sz w:val="20"/>
                <w:szCs w:val="20"/>
              </w:rPr>
              <w:t xml:space="preserve">, aby podle § 184a </w:t>
            </w:r>
            <w:r w:rsidRPr="0020404A">
              <w:rPr>
                <w:rFonts w:ascii="Arial" w:hAnsi="Arial" w:cs="Arial"/>
                <w:bCs/>
                <w:sz w:val="20"/>
                <w:szCs w:val="20"/>
              </w:rPr>
              <w:br/>
              <w:t xml:space="preserve">odst. 2 zákona č. 183/2006 Sb., o územním plánování a stavebním řádu, ve znění účinném </w:t>
            </w:r>
            <w:r w:rsidRPr="0020404A">
              <w:rPr>
                <w:rFonts w:ascii="Arial" w:hAnsi="Arial" w:cs="Arial"/>
                <w:bCs/>
                <w:sz w:val="20"/>
                <w:szCs w:val="20"/>
              </w:rPr>
              <w:br/>
              <w:t xml:space="preserve">od 1. 1. 2018, </w:t>
            </w:r>
            <w:r w:rsidRPr="0020404A">
              <w:rPr>
                <w:rFonts w:ascii="Arial" w:hAnsi="Arial" w:cs="Arial"/>
                <w:b/>
                <w:bCs/>
                <w:sz w:val="20"/>
                <w:szCs w:val="20"/>
              </w:rPr>
              <w:t xml:space="preserve">současně vyznačovalo svůj souhlas se stavebním záměrem na situačním výkresu dokumentace nebo projektové dokumentace. </w:t>
            </w:r>
          </w:p>
          <w:p w:rsidR="0020404A" w:rsidRPr="0020404A" w:rsidRDefault="0020404A" w:rsidP="005D758B">
            <w:pPr>
              <w:jc w:val="both"/>
              <w:rPr>
                <w:rFonts w:ascii="Arial" w:hAnsi="Arial" w:cs="Arial"/>
                <w:bCs/>
                <w:sz w:val="20"/>
                <w:szCs w:val="20"/>
              </w:rPr>
            </w:pPr>
          </w:p>
        </w:tc>
      </w:tr>
    </w:tbl>
    <w:p w:rsidR="006462FA" w:rsidRDefault="006462FA" w:rsidP="006462FA">
      <w:pPr>
        <w:pStyle w:val="Default"/>
        <w:spacing w:after="437"/>
        <w:jc w:val="both"/>
        <w:rPr>
          <w:bCs/>
          <w:sz w:val="20"/>
          <w:szCs w:val="20"/>
        </w:rPr>
      </w:pPr>
    </w:p>
    <w:p w:rsidR="00EC212A" w:rsidRDefault="006462FA" w:rsidP="0020404A">
      <w:pPr>
        <w:pStyle w:val="Default"/>
        <w:jc w:val="both"/>
        <w:rPr>
          <w:bCs/>
          <w:i/>
          <w:sz w:val="20"/>
          <w:szCs w:val="20"/>
        </w:rPr>
      </w:pPr>
      <w:r>
        <w:rPr>
          <w:bCs/>
          <w:sz w:val="20"/>
          <w:szCs w:val="20"/>
        </w:rPr>
        <w:t>Dle ustanovení § 184a odst. 1 stavebního zákona „</w:t>
      </w:r>
      <w:r w:rsidRPr="006462FA">
        <w:rPr>
          <w:bCs/>
          <w:i/>
          <w:sz w:val="20"/>
          <w:szCs w:val="20"/>
        </w:rPr>
        <w:t xml:space="preserve">Není-li žadatel vlastníkem pozemku nebo stavby </w:t>
      </w:r>
      <w:r w:rsidR="00875BF3">
        <w:rPr>
          <w:bCs/>
          <w:i/>
          <w:sz w:val="20"/>
          <w:szCs w:val="20"/>
        </w:rPr>
        <w:br/>
      </w:r>
      <w:r w:rsidRPr="006462FA">
        <w:rPr>
          <w:bCs/>
          <w:i/>
          <w:sz w:val="20"/>
          <w:szCs w:val="20"/>
        </w:rPr>
        <w:t>a není-li oprávněn ze služebnosti nebo z práva stavby požadovaný stavební záměr nebo opatření uskutečnit, dokládá souhlas vlastníka pozemku nebo stavby. Není-li žadatel o povolení změny dokončené stavby jejím vlastníkem, dokládá souhlas vlastníka stavby. K žádosti o povolení změny dokončené stavby v bytovém spoluvlastnictví vlastník jednotky dokládá souhlas společenství vlastníků, nebo správce, pokud společenství vlastníků nevzniklo.</w:t>
      </w:r>
      <w:r>
        <w:rPr>
          <w:bCs/>
          <w:i/>
          <w:sz w:val="20"/>
          <w:szCs w:val="20"/>
        </w:rPr>
        <w:t>“</w:t>
      </w:r>
    </w:p>
    <w:p w:rsidR="0020404A" w:rsidRDefault="0020404A" w:rsidP="0020404A">
      <w:pPr>
        <w:pStyle w:val="Default"/>
        <w:jc w:val="both"/>
        <w:rPr>
          <w:bCs/>
          <w:i/>
          <w:sz w:val="20"/>
          <w:szCs w:val="20"/>
        </w:rPr>
      </w:pPr>
    </w:p>
    <w:p w:rsidR="006462FA" w:rsidRDefault="006462FA" w:rsidP="0020404A">
      <w:pPr>
        <w:pStyle w:val="Default"/>
        <w:jc w:val="both"/>
        <w:rPr>
          <w:bCs/>
          <w:sz w:val="20"/>
          <w:szCs w:val="20"/>
        </w:rPr>
      </w:pPr>
      <w:r>
        <w:rPr>
          <w:bCs/>
          <w:sz w:val="20"/>
          <w:szCs w:val="20"/>
        </w:rPr>
        <w:t>Dle odst. 2 musí být s</w:t>
      </w:r>
      <w:r w:rsidRPr="006462FA">
        <w:rPr>
          <w:bCs/>
          <w:sz w:val="20"/>
          <w:szCs w:val="20"/>
        </w:rPr>
        <w:t>ouhlas vyznačen n</w:t>
      </w:r>
      <w:r w:rsidR="00EC3621">
        <w:rPr>
          <w:bCs/>
          <w:sz w:val="20"/>
          <w:szCs w:val="20"/>
        </w:rPr>
        <w:t>a situačním výkresu dokumentace</w:t>
      </w:r>
      <w:r w:rsidRPr="006462FA">
        <w:rPr>
          <w:bCs/>
          <w:sz w:val="20"/>
          <w:szCs w:val="20"/>
        </w:rPr>
        <w:t xml:space="preserve"> nebo projektové dokumentace.</w:t>
      </w:r>
      <w:r>
        <w:rPr>
          <w:bCs/>
          <w:sz w:val="20"/>
          <w:szCs w:val="20"/>
        </w:rPr>
        <w:t xml:space="preserve"> </w:t>
      </w:r>
      <w:r w:rsidRPr="006462FA">
        <w:rPr>
          <w:bCs/>
          <w:sz w:val="20"/>
          <w:szCs w:val="20"/>
        </w:rPr>
        <w:t>Souhlas se nedokládá, je-li pro získání potřebných práv k pozemku nebo stavbě stanoven účel vyvlastnění zákonem</w:t>
      </w:r>
      <w:r w:rsidR="0020404A">
        <w:rPr>
          <w:bCs/>
          <w:sz w:val="20"/>
          <w:szCs w:val="20"/>
        </w:rPr>
        <w:t xml:space="preserve"> (§ 184a odst. 3)</w:t>
      </w:r>
      <w:r w:rsidRPr="006462FA">
        <w:rPr>
          <w:bCs/>
          <w:sz w:val="20"/>
          <w:szCs w:val="20"/>
        </w:rPr>
        <w:t>.</w:t>
      </w:r>
    </w:p>
    <w:p w:rsidR="0020404A" w:rsidRPr="006462FA" w:rsidRDefault="0020404A" w:rsidP="0020404A">
      <w:pPr>
        <w:pStyle w:val="Default"/>
        <w:jc w:val="both"/>
        <w:rPr>
          <w:bCs/>
          <w:sz w:val="20"/>
          <w:szCs w:val="20"/>
        </w:rPr>
      </w:pPr>
    </w:p>
    <w:p w:rsidR="00921E1D" w:rsidRDefault="00921E1D" w:rsidP="003D0B4D">
      <w:pPr>
        <w:spacing w:after="0"/>
        <w:jc w:val="both"/>
        <w:rPr>
          <w:rFonts w:ascii="Arial" w:hAnsi="Arial" w:cs="Arial"/>
          <w:sz w:val="20"/>
          <w:szCs w:val="20"/>
        </w:rPr>
      </w:pPr>
      <w:r w:rsidRPr="006462FA">
        <w:rPr>
          <w:rFonts w:ascii="Arial" w:hAnsi="Arial" w:cs="Arial"/>
          <w:bCs/>
          <w:sz w:val="20"/>
          <w:szCs w:val="20"/>
        </w:rPr>
        <w:t xml:space="preserve">K </w:t>
      </w:r>
      <w:r w:rsidR="00EC212A" w:rsidRPr="006462FA">
        <w:rPr>
          <w:rFonts w:ascii="Arial" w:hAnsi="Arial" w:cs="Arial"/>
          <w:bCs/>
          <w:sz w:val="20"/>
          <w:szCs w:val="20"/>
        </w:rPr>
        <w:t xml:space="preserve">charakteru souhlasu dle ustanovení </w:t>
      </w:r>
      <w:r w:rsidRPr="006462FA">
        <w:rPr>
          <w:rFonts w:ascii="Arial" w:hAnsi="Arial" w:cs="Arial"/>
          <w:bCs/>
          <w:sz w:val="20"/>
          <w:szCs w:val="20"/>
        </w:rPr>
        <w:t xml:space="preserve">§184a stavebního zákona </w:t>
      </w:r>
      <w:r w:rsidR="00EC212A" w:rsidRPr="006462FA">
        <w:rPr>
          <w:rFonts w:ascii="Arial" w:hAnsi="Arial" w:cs="Arial"/>
          <w:bCs/>
          <w:sz w:val="20"/>
          <w:szCs w:val="20"/>
        </w:rPr>
        <w:t xml:space="preserve">lze </w:t>
      </w:r>
      <w:r w:rsidRPr="006462FA">
        <w:rPr>
          <w:rFonts w:ascii="Arial" w:hAnsi="Arial" w:cs="Arial"/>
          <w:bCs/>
          <w:sz w:val="20"/>
          <w:szCs w:val="20"/>
        </w:rPr>
        <w:t>obecně</w:t>
      </w:r>
      <w:r w:rsidR="00EC212A" w:rsidRPr="006462FA">
        <w:rPr>
          <w:rFonts w:ascii="Arial" w:hAnsi="Arial" w:cs="Arial"/>
          <w:bCs/>
          <w:sz w:val="20"/>
          <w:szCs w:val="20"/>
        </w:rPr>
        <w:t xml:space="preserve"> konstatovat,  že </w:t>
      </w:r>
      <w:r w:rsidR="006462FA" w:rsidRPr="006462FA">
        <w:rPr>
          <w:rFonts w:ascii="Arial" w:hAnsi="Arial" w:cs="Arial"/>
          <w:bCs/>
          <w:sz w:val="20"/>
          <w:szCs w:val="20"/>
        </w:rPr>
        <w:t xml:space="preserve">dle znění zákona účinného od 1. 1. 2018 se </w:t>
      </w:r>
      <w:r w:rsidRPr="006462FA">
        <w:rPr>
          <w:rFonts w:ascii="Arial" w:hAnsi="Arial" w:cs="Arial"/>
          <w:sz w:val="20"/>
          <w:szCs w:val="20"/>
        </w:rPr>
        <w:t>ve stanovených případech v územním i stavebním ř</w:t>
      </w:r>
      <w:r w:rsidR="006462FA" w:rsidRPr="006462FA">
        <w:rPr>
          <w:rFonts w:ascii="Arial" w:hAnsi="Arial" w:cs="Arial"/>
          <w:sz w:val="20"/>
          <w:szCs w:val="20"/>
        </w:rPr>
        <w:t xml:space="preserve">ízení připojuje </w:t>
      </w:r>
      <w:r w:rsidR="00875BF3">
        <w:rPr>
          <w:rFonts w:ascii="Arial" w:hAnsi="Arial" w:cs="Arial"/>
          <w:sz w:val="20"/>
          <w:szCs w:val="20"/>
        </w:rPr>
        <w:br/>
      </w:r>
      <w:r w:rsidR="006462FA" w:rsidRPr="006462FA">
        <w:rPr>
          <w:rFonts w:ascii="Arial" w:hAnsi="Arial" w:cs="Arial"/>
          <w:sz w:val="20"/>
          <w:szCs w:val="20"/>
        </w:rPr>
        <w:t>k žádosti pouze</w:t>
      </w:r>
      <w:r w:rsidRPr="006462FA">
        <w:rPr>
          <w:rFonts w:ascii="Arial" w:hAnsi="Arial" w:cs="Arial"/>
          <w:sz w:val="20"/>
          <w:szCs w:val="20"/>
        </w:rPr>
        <w:t xml:space="preserve"> souhlas</w:t>
      </w:r>
      <w:r w:rsidR="006462FA" w:rsidRPr="006462FA">
        <w:rPr>
          <w:rFonts w:ascii="Arial" w:hAnsi="Arial" w:cs="Arial"/>
          <w:sz w:val="20"/>
          <w:szCs w:val="20"/>
        </w:rPr>
        <w:t xml:space="preserve"> vlastníka pozemku nebo stavby (</w:t>
      </w:r>
      <w:r w:rsidRPr="006462FA">
        <w:rPr>
          <w:rFonts w:ascii="Arial" w:hAnsi="Arial" w:cs="Arial"/>
          <w:sz w:val="20"/>
          <w:szCs w:val="20"/>
        </w:rPr>
        <w:t>a nikoliv</w:t>
      </w:r>
      <w:r w:rsidR="003D0B4D">
        <w:rPr>
          <w:rFonts w:ascii="Arial" w:hAnsi="Arial" w:cs="Arial"/>
          <w:sz w:val="20"/>
          <w:szCs w:val="20"/>
        </w:rPr>
        <w:t xml:space="preserve"> tedy již</w:t>
      </w:r>
      <w:r w:rsidRPr="006462FA">
        <w:rPr>
          <w:rFonts w:ascii="Arial" w:hAnsi="Arial" w:cs="Arial"/>
          <w:sz w:val="20"/>
          <w:szCs w:val="20"/>
        </w:rPr>
        <w:t xml:space="preserve"> doklad o právu </w:t>
      </w:r>
      <w:r w:rsidR="006462FA" w:rsidRPr="006462FA">
        <w:rPr>
          <w:rFonts w:ascii="Arial" w:hAnsi="Arial" w:cs="Arial"/>
          <w:sz w:val="20"/>
          <w:szCs w:val="20"/>
        </w:rPr>
        <w:t xml:space="preserve">provést stavbu). Tuto </w:t>
      </w:r>
      <w:r w:rsidRPr="006462FA">
        <w:rPr>
          <w:rFonts w:ascii="Arial" w:hAnsi="Arial" w:cs="Arial"/>
          <w:sz w:val="20"/>
          <w:szCs w:val="20"/>
        </w:rPr>
        <w:t xml:space="preserve">právní úpravu je třeba vykládat ve shodě s dosavadním judikaturním přístupem tak, </w:t>
      </w:r>
      <w:r w:rsidR="00875BF3">
        <w:rPr>
          <w:rFonts w:ascii="Arial" w:hAnsi="Arial" w:cs="Arial"/>
          <w:sz w:val="20"/>
          <w:szCs w:val="20"/>
        </w:rPr>
        <w:br/>
      </w:r>
      <w:r w:rsidRPr="006462FA">
        <w:rPr>
          <w:rFonts w:ascii="Arial" w:hAnsi="Arial" w:cs="Arial"/>
          <w:sz w:val="20"/>
          <w:szCs w:val="20"/>
        </w:rPr>
        <w:t xml:space="preserve">že </w:t>
      </w:r>
      <w:r w:rsidRPr="0020404A">
        <w:rPr>
          <w:rFonts w:ascii="Arial" w:hAnsi="Arial" w:cs="Arial"/>
          <w:sz w:val="20"/>
          <w:szCs w:val="20"/>
        </w:rPr>
        <w:t>souhlas vlastníka pozemku nebo stavby dle §</w:t>
      </w:r>
      <w:r w:rsidR="006462FA" w:rsidRPr="0020404A">
        <w:rPr>
          <w:rFonts w:ascii="Arial" w:hAnsi="Arial" w:cs="Arial"/>
          <w:sz w:val="20"/>
          <w:szCs w:val="20"/>
        </w:rPr>
        <w:t xml:space="preserve"> </w:t>
      </w:r>
      <w:r w:rsidRPr="0020404A">
        <w:rPr>
          <w:rFonts w:ascii="Arial" w:hAnsi="Arial" w:cs="Arial"/>
          <w:sz w:val="20"/>
          <w:szCs w:val="20"/>
        </w:rPr>
        <w:t xml:space="preserve">184a stavebního zákona sám o sobě nemá soukromoprávní účinky v tom smyslu, že by zakládal oprávněnost stavby. </w:t>
      </w:r>
      <w:r w:rsidRPr="006462FA">
        <w:rPr>
          <w:rFonts w:ascii="Arial" w:hAnsi="Arial" w:cs="Arial"/>
          <w:sz w:val="20"/>
          <w:szCs w:val="20"/>
        </w:rPr>
        <w:t xml:space="preserve">V územním a stavebním řízení se v těchto případech rozhoduje o stavebním záměru nezávisle na tom, zda žadatel je z hlediska soukromého práva oprávněn příslušný záměr realizovat. Postačí, že má souhlas vlastníka k příslušné žádosti. </w:t>
      </w:r>
    </w:p>
    <w:p w:rsidR="003A65EE" w:rsidRPr="00D62080" w:rsidRDefault="003A65EE" w:rsidP="003D0B4D">
      <w:pPr>
        <w:spacing w:after="0"/>
        <w:jc w:val="both"/>
        <w:rPr>
          <w:rFonts w:ascii="Arial" w:hAnsi="Arial" w:cs="Arial"/>
          <w:sz w:val="20"/>
          <w:szCs w:val="20"/>
        </w:rPr>
      </w:pPr>
    </w:p>
    <w:p w:rsidR="003A65EE" w:rsidRPr="00875BF3" w:rsidRDefault="00921E1D" w:rsidP="003A65EE">
      <w:pPr>
        <w:jc w:val="both"/>
        <w:rPr>
          <w:rFonts w:ascii="Arial" w:hAnsi="Arial" w:cs="Arial"/>
          <w:sz w:val="20"/>
          <w:szCs w:val="20"/>
          <w:u w:val="single"/>
        </w:rPr>
      </w:pPr>
      <w:r w:rsidRPr="00D62080">
        <w:rPr>
          <w:rFonts w:ascii="Arial" w:hAnsi="Arial" w:cs="Arial"/>
          <w:sz w:val="20"/>
          <w:szCs w:val="20"/>
        </w:rPr>
        <w:t>K výkonu práv vyplývajících ze stavebního povolení j</w:t>
      </w:r>
      <w:r w:rsidR="003D0B4D" w:rsidRPr="00D62080">
        <w:rPr>
          <w:rFonts w:ascii="Arial" w:hAnsi="Arial" w:cs="Arial"/>
          <w:sz w:val="20"/>
          <w:szCs w:val="20"/>
        </w:rPr>
        <w:t xml:space="preserve">e však </w:t>
      </w:r>
      <w:r w:rsidRPr="00D62080">
        <w:rPr>
          <w:rFonts w:ascii="Arial" w:hAnsi="Arial" w:cs="Arial"/>
          <w:sz w:val="20"/>
          <w:szCs w:val="20"/>
        </w:rPr>
        <w:t xml:space="preserve">i nadále třeba rovněž soukromoprávní titul; nestačí tedy, že je stavba veřejnoprávně povolena, ale musí být oprávněná i z hlediska soukromého práva. </w:t>
      </w:r>
      <w:r w:rsidRPr="00875BF3">
        <w:rPr>
          <w:rFonts w:ascii="Arial" w:hAnsi="Arial" w:cs="Arial"/>
          <w:sz w:val="20"/>
          <w:szCs w:val="20"/>
          <w:u w:val="single"/>
        </w:rPr>
        <w:t>Ochranu před povolenou,</w:t>
      </w:r>
      <w:r w:rsidR="003A65EE" w:rsidRPr="00875BF3">
        <w:rPr>
          <w:rFonts w:ascii="Arial" w:hAnsi="Arial" w:cs="Arial"/>
          <w:sz w:val="20"/>
          <w:szCs w:val="20"/>
          <w:u w:val="single"/>
        </w:rPr>
        <w:t xml:space="preserve"> ale neoprávněnou stavbou však</w:t>
      </w:r>
      <w:r w:rsidRPr="00875BF3">
        <w:rPr>
          <w:rFonts w:ascii="Arial" w:hAnsi="Arial" w:cs="Arial"/>
          <w:sz w:val="20"/>
          <w:szCs w:val="20"/>
          <w:u w:val="single"/>
        </w:rPr>
        <w:t xml:space="preserve"> poskytují prostředky soukromého práva a civilní soudy</w:t>
      </w:r>
      <w:r w:rsidR="003A65EE" w:rsidRPr="00875BF3">
        <w:rPr>
          <w:rFonts w:ascii="Arial" w:hAnsi="Arial" w:cs="Arial"/>
          <w:sz w:val="20"/>
          <w:szCs w:val="20"/>
          <w:u w:val="single"/>
        </w:rPr>
        <w:t>, nikoliv stavební úřady</w:t>
      </w:r>
      <w:r w:rsidRPr="00875BF3">
        <w:rPr>
          <w:rFonts w:ascii="Arial" w:hAnsi="Arial" w:cs="Arial"/>
          <w:sz w:val="20"/>
          <w:szCs w:val="20"/>
          <w:u w:val="single"/>
        </w:rPr>
        <w:t>.</w:t>
      </w:r>
    </w:p>
    <w:p w:rsidR="00D62080" w:rsidRDefault="00D62080" w:rsidP="003A65EE">
      <w:pPr>
        <w:jc w:val="both"/>
        <w:rPr>
          <w:rFonts w:ascii="Arial" w:hAnsi="Arial" w:cs="Arial"/>
          <w:b/>
          <w:bCs/>
          <w:sz w:val="20"/>
          <w:szCs w:val="20"/>
        </w:rPr>
      </w:pPr>
    </w:p>
    <w:p w:rsidR="00042700" w:rsidRDefault="00042700" w:rsidP="003A65EE">
      <w:pPr>
        <w:jc w:val="both"/>
        <w:rPr>
          <w:rFonts w:ascii="Arial" w:hAnsi="Arial" w:cs="Arial"/>
          <w:b/>
          <w:bCs/>
          <w:sz w:val="20"/>
          <w:szCs w:val="20"/>
        </w:rPr>
      </w:pPr>
    </w:p>
    <w:p w:rsidR="00D62080" w:rsidRPr="00D62080" w:rsidRDefault="00D62080" w:rsidP="00042700">
      <w:pPr>
        <w:spacing w:after="0"/>
        <w:jc w:val="both"/>
        <w:rPr>
          <w:rFonts w:ascii="Arial" w:hAnsi="Arial" w:cs="Arial"/>
          <w:b/>
          <w:bCs/>
          <w:sz w:val="20"/>
          <w:szCs w:val="20"/>
          <w:u w:val="single"/>
        </w:rPr>
      </w:pPr>
      <w:r w:rsidRPr="00D62080">
        <w:rPr>
          <w:rFonts w:ascii="Arial" w:hAnsi="Arial" w:cs="Arial"/>
          <w:b/>
          <w:bCs/>
          <w:sz w:val="20"/>
          <w:szCs w:val="20"/>
          <w:u w:val="single"/>
        </w:rPr>
        <w:lastRenderedPageBreak/>
        <w:t>Závěr:</w:t>
      </w:r>
    </w:p>
    <w:p w:rsidR="00D62080" w:rsidRDefault="00D62080" w:rsidP="00D62080">
      <w:pPr>
        <w:pStyle w:val="Odstavecseseznamem"/>
        <w:numPr>
          <w:ilvl w:val="0"/>
          <w:numId w:val="1"/>
        </w:numPr>
        <w:jc w:val="both"/>
        <w:rPr>
          <w:rFonts w:ascii="Arial" w:hAnsi="Arial" w:cs="Arial"/>
          <w:b/>
          <w:bCs/>
          <w:sz w:val="20"/>
          <w:szCs w:val="20"/>
        </w:rPr>
      </w:pPr>
      <w:r w:rsidRPr="00D62080">
        <w:rPr>
          <w:rFonts w:ascii="Arial" w:hAnsi="Arial" w:cs="Arial"/>
          <w:b/>
          <w:bCs/>
          <w:sz w:val="20"/>
          <w:szCs w:val="20"/>
        </w:rPr>
        <w:t xml:space="preserve">Od 1. 1. 2018 již není třeba, aby k žádosti o povolení změny dokončené stavby v bytovém spoluvlastnictví byl připojen doklad o právu v podobě rozhodnutí shromáždění </w:t>
      </w:r>
      <w:r w:rsidR="00FB6DEC">
        <w:rPr>
          <w:rFonts w:ascii="Arial" w:hAnsi="Arial" w:cs="Arial"/>
          <w:b/>
          <w:bCs/>
          <w:sz w:val="20"/>
          <w:szCs w:val="20"/>
        </w:rPr>
        <w:br/>
      </w:r>
      <w:r w:rsidRPr="00D62080">
        <w:rPr>
          <w:rFonts w:ascii="Arial" w:hAnsi="Arial" w:cs="Arial"/>
          <w:b/>
          <w:bCs/>
          <w:sz w:val="20"/>
          <w:szCs w:val="20"/>
        </w:rPr>
        <w:t xml:space="preserve">či smlouvy o výstavbě. </w:t>
      </w:r>
    </w:p>
    <w:p w:rsidR="00D62080" w:rsidRDefault="00D62080" w:rsidP="00D62080">
      <w:pPr>
        <w:pStyle w:val="Odstavecseseznamem"/>
        <w:numPr>
          <w:ilvl w:val="0"/>
          <w:numId w:val="1"/>
        </w:numPr>
        <w:jc w:val="both"/>
        <w:rPr>
          <w:rFonts w:ascii="Arial" w:hAnsi="Arial" w:cs="Arial"/>
          <w:b/>
          <w:bCs/>
          <w:sz w:val="20"/>
          <w:szCs w:val="20"/>
        </w:rPr>
      </w:pPr>
      <w:r w:rsidRPr="00D62080">
        <w:rPr>
          <w:rFonts w:ascii="Arial" w:hAnsi="Arial" w:cs="Arial"/>
          <w:b/>
          <w:bCs/>
          <w:sz w:val="20"/>
          <w:szCs w:val="20"/>
        </w:rPr>
        <w:t xml:space="preserve">Stavební úřad tak není povinen zkoumat usnesení shromáždění. Ve stavebním řízení postačuje souhlas společenství vlastníků. </w:t>
      </w:r>
    </w:p>
    <w:p w:rsidR="00D62080" w:rsidRDefault="00D62080" w:rsidP="00D62080">
      <w:pPr>
        <w:pStyle w:val="Odstavecseseznamem"/>
        <w:numPr>
          <w:ilvl w:val="0"/>
          <w:numId w:val="1"/>
        </w:numPr>
        <w:jc w:val="both"/>
        <w:rPr>
          <w:rFonts w:ascii="Arial" w:hAnsi="Arial" w:cs="Arial"/>
          <w:b/>
          <w:bCs/>
          <w:sz w:val="20"/>
          <w:szCs w:val="20"/>
        </w:rPr>
      </w:pPr>
      <w:r>
        <w:rPr>
          <w:rFonts w:ascii="Arial" w:hAnsi="Arial" w:cs="Arial"/>
          <w:b/>
          <w:bCs/>
          <w:sz w:val="20"/>
          <w:szCs w:val="20"/>
        </w:rPr>
        <w:t>S</w:t>
      </w:r>
      <w:r w:rsidRPr="00D62080">
        <w:rPr>
          <w:rFonts w:ascii="Arial" w:hAnsi="Arial" w:cs="Arial"/>
          <w:b/>
          <w:bCs/>
          <w:sz w:val="20"/>
          <w:szCs w:val="20"/>
        </w:rPr>
        <w:t xml:space="preserve">por o platnost rozhodnutí shromáždění se omezuje </w:t>
      </w:r>
      <w:r w:rsidR="00875BF3">
        <w:rPr>
          <w:rFonts w:ascii="Arial" w:hAnsi="Arial" w:cs="Arial"/>
          <w:b/>
          <w:bCs/>
          <w:sz w:val="20"/>
          <w:szCs w:val="20"/>
        </w:rPr>
        <w:t xml:space="preserve">pouze </w:t>
      </w:r>
      <w:r w:rsidRPr="00D62080">
        <w:rPr>
          <w:rFonts w:ascii="Arial" w:hAnsi="Arial" w:cs="Arial"/>
          <w:b/>
          <w:bCs/>
          <w:sz w:val="20"/>
          <w:szCs w:val="20"/>
        </w:rPr>
        <w:t>na řízení před civilními s</w:t>
      </w:r>
      <w:r>
        <w:rPr>
          <w:rFonts w:ascii="Arial" w:hAnsi="Arial" w:cs="Arial"/>
          <w:b/>
          <w:bCs/>
          <w:sz w:val="20"/>
          <w:szCs w:val="20"/>
        </w:rPr>
        <w:t>oudy.</w:t>
      </w:r>
    </w:p>
    <w:p w:rsidR="00D62080" w:rsidRDefault="00D62080" w:rsidP="00D62080">
      <w:pPr>
        <w:pStyle w:val="Odstavecseseznamem"/>
        <w:numPr>
          <w:ilvl w:val="0"/>
          <w:numId w:val="1"/>
        </w:numPr>
        <w:jc w:val="both"/>
        <w:rPr>
          <w:rFonts w:ascii="Arial" w:hAnsi="Arial" w:cs="Arial"/>
          <w:b/>
          <w:bCs/>
          <w:sz w:val="20"/>
          <w:szCs w:val="20"/>
        </w:rPr>
      </w:pPr>
      <w:r>
        <w:rPr>
          <w:rFonts w:ascii="Arial" w:hAnsi="Arial" w:cs="Arial"/>
          <w:b/>
          <w:bCs/>
          <w:sz w:val="20"/>
          <w:szCs w:val="20"/>
        </w:rPr>
        <w:t xml:space="preserve">Pro stavební řízení není </w:t>
      </w:r>
      <w:r w:rsidRPr="00D62080">
        <w:rPr>
          <w:rFonts w:ascii="Arial" w:hAnsi="Arial" w:cs="Arial"/>
          <w:b/>
          <w:bCs/>
          <w:sz w:val="20"/>
          <w:szCs w:val="20"/>
        </w:rPr>
        <w:t xml:space="preserve">výsledek </w:t>
      </w:r>
      <w:r>
        <w:rPr>
          <w:rFonts w:ascii="Arial" w:hAnsi="Arial" w:cs="Arial"/>
          <w:b/>
          <w:bCs/>
          <w:sz w:val="20"/>
          <w:szCs w:val="20"/>
        </w:rPr>
        <w:t xml:space="preserve">rozhodnutí soudu </w:t>
      </w:r>
      <w:r w:rsidRPr="00D62080">
        <w:rPr>
          <w:rFonts w:ascii="Arial" w:hAnsi="Arial" w:cs="Arial"/>
          <w:b/>
          <w:bCs/>
          <w:sz w:val="20"/>
          <w:szCs w:val="20"/>
        </w:rPr>
        <w:t xml:space="preserve">bezprostředně relevantní. </w:t>
      </w:r>
      <w:r w:rsidRPr="00D62080">
        <w:rPr>
          <w:rFonts w:ascii="Arial" w:hAnsi="Arial" w:cs="Arial"/>
          <w:b/>
          <w:bCs/>
          <w:sz w:val="20"/>
          <w:szCs w:val="20"/>
          <w:u w:val="single"/>
        </w:rPr>
        <w:t>Není tedy důvod přerušovat řízení z důvodu žaloby na neplatnost usnesení shromáždění</w:t>
      </w:r>
      <w:r>
        <w:rPr>
          <w:rFonts w:ascii="Arial" w:hAnsi="Arial" w:cs="Arial"/>
          <w:b/>
          <w:bCs/>
          <w:sz w:val="20"/>
          <w:szCs w:val="20"/>
        </w:rPr>
        <w:t xml:space="preserve">. </w:t>
      </w:r>
      <w:r w:rsidR="00FB6DEC">
        <w:rPr>
          <w:rFonts w:ascii="Arial" w:hAnsi="Arial" w:cs="Arial"/>
          <w:b/>
          <w:bCs/>
          <w:sz w:val="20"/>
          <w:szCs w:val="20"/>
        </w:rPr>
        <w:br/>
      </w:r>
      <w:r w:rsidRPr="00D62080">
        <w:rPr>
          <w:rFonts w:ascii="Arial" w:hAnsi="Arial" w:cs="Arial"/>
          <w:b/>
          <w:bCs/>
          <w:sz w:val="20"/>
          <w:szCs w:val="20"/>
        </w:rPr>
        <w:t xml:space="preserve">Ve stavebním řízení lze tedy bez ohledu na případný civilní spor žádosti vyhovět a stavbu povolit, jsou–li splněny zákonné předpoklady. </w:t>
      </w:r>
      <w:r w:rsidRPr="00875BF3">
        <w:rPr>
          <w:rFonts w:ascii="Arial" w:hAnsi="Arial" w:cs="Arial"/>
          <w:bCs/>
          <w:sz w:val="20"/>
          <w:szCs w:val="20"/>
        </w:rPr>
        <w:t>Je pak na úvaze civilních soudů, zda ve sporu o platnost rozhodnutí shromáždění (nebo jiného orgánu) budou podle okolností konkrétního případu pokládat za nutné předběžným</w:t>
      </w:r>
      <w:r w:rsidRPr="00875BF3">
        <w:t xml:space="preserve"> </w:t>
      </w:r>
      <w:r w:rsidRPr="00875BF3">
        <w:rPr>
          <w:rFonts w:ascii="Arial" w:hAnsi="Arial" w:cs="Arial"/>
          <w:bCs/>
          <w:sz w:val="20"/>
          <w:szCs w:val="20"/>
        </w:rPr>
        <w:t>opatřením zakázat společenství vlastníků, aby jednalo dle napadeného rozhodnutí a realizovalo povolenou stavbu, nebo zda společenství umožní stavbu realizovat. Nová právní úprava tedy umožňuje volit míru právní ochrany, která bude více odpovídat okolnostem věci, neboť civilní spor nevede ke zdržení stavebního řízení a nemusí nutně znamenat ani odklad realizace stavby</w:t>
      </w:r>
      <w:r w:rsidRPr="00D62080">
        <w:rPr>
          <w:rFonts w:ascii="Arial" w:hAnsi="Arial" w:cs="Arial"/>
          <w:b/>
          <w:bCs/>
          <w:sz w:val="20"/>
          <w:szCs w:val="20"/>
        </w:rPr>
        <w:t>.</w:t>
      </w:r>
    </w:p>
    <w:p w:rsidR="00042700" w:rsidRDefault="00042700" w:rsidP="00042700">
      <w:pPr>
        <w:pStyle w:val="Odstavecseseznamem"/>
        <w:numPr>
          <w:ilvl w:val="0"/>
          <w:numId w:val="1"/>
        </w:numPr>
        <w:spacing w:after="0"/>
        <w:jc w:val="both"/>
        <w:rPr>
          <w:rFonts w:ascii="Arial" w:hAnsi="Arial" w:cs="Arial"/>
          <w:b/>
          <w:bCs/>
          <w:sz w:val="20"/>
          <w:szCs w:val="20"/>
        </w:rPr>
      </w:pPr>
      <w:r w:rsidRPr="00D62080">
        <w:rPr>
          <w:rFonts w:ascii="Arial" w:hAnsi="Arial" w:cs="Arial"/>
          <w:b/>
          <w:bCs/>
          <w:sz w:val="20"/>
          <w:szCs w:val="20"/>
        </w:rPr>
        <w:t>Společenství vlastníků jako žadatel nemusí vyznačovat svůj souhlas na situačním výkresu dokumentace nebo projektové dokumentace</w:t>
      </w:r>
      <w:r>
        <w:rPr>
          <w:rFonts w:ascii="Arial" w:hAnsi="Arial" w:cs="Arial"/>
          <w:b/>
          <w:bCs/>
          <w:sz w:val="20"/>
          <w:szCs w:val="20"/>
        </w:rPr>
        <w:t>.</w:t>
      </w:r>
    </w:p>
    <w:p w:rsidR="00042700" w:rsidRPr="00D62080" w:rsidRDefault="00042700" w:rsidP="00875BF3">
      <w:pPr>
        <w:pStyle w:val="Odstavecseseznamem"/>
        <w:jc w:val="both"/>
        <w:rPr>
          <w:rFonts w:ascii="Arial" w:hAnsi="Arial" w:cs="Arial"/>
          <w:b/>
          <w:bCs/>
          <w:sz w:val="20"/>
          <w:szCs w:val="20"/>
        </w:rPr>
      </w:pPr>
    </w:p>
    <w:p w:rsidR="00D62080" w:rsidRDefault="00D62080" w:rsidP="003A65EE">
      <w:pPr>
        <w:jc w:val="both"/>
        <w:rPr>
          <w:rFonts w:ascii="Arial" w:hAnsi="Arial" w:cs="Arial"/>
          <w:b/>
          <w:bCs/>
          <w:sz w:val="20"/>
          <w:szCs w:val="20"/>
        </w:rPr>
      </w:pPr>
    </w:p>
    <w:p w:rsidR="00024FEE" w:rsidRPr="003A65EE" w:rsidRDefault="00024FEE" w:rsidP="00EC212A">
      <w:pPr>
        <w:rPr>
          <w:rFonts w:ascii="Arial" w:hAnsi="Arial" w:cs="Arial"/>
          <w:sz w:val="20"/>
          <w:szCs w:val="20"/>
        </w:rPr>
      </w:pPr>
    </w:p>
    <w:sectPr w:rsidR="00024FEE" w:rsidRPr="003A65E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ADD" w:rsidRDefault="00986ADD" w:rsidP="00E37A72">
      <w:pPr>
        <w:spacing w:after="0" w:line="240" w:lineRule="auto"/>
      </w:pPr>
      <w:r>
        <w:separator/>
      </w:r>
    </w:p>
  </w:endnote>
  <w:endnote w:type="continuationSeparator" w:id="0">
    <w:p w:rsidR="00986ADD" w:rsidRDefault="00986ADD" w:rsidP="00E3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675993"/>
      <w:docPartObj>
        <w:docPartGallery w:val="Page Numbers (Bottom of Page)"/>
        <w:docPartUnique/>
      </w:docPartObj>
    </w:sdtPr>
    <w:sdtEndPr/>
    <w:sdtContent>
      <w:p w:rsidR="009A189A" w:rsidRDefault="009F28DA">
        <w:pPr>
          <w:pStyle w:val="Zpat"/>
          <w:jc w:val="center"/>
        </w:pPr>
        <w:r>
          <w:fldChar w:fldCharType="begin"/>
        </w:r>
        <w:r>
          <w:instrText>PAGE   \* MERGEFORMAT</w:instrText>
        </w:r>
        <w:r>
          <w:fldChar w:fldCharType="separate"/>
        </w:r>
        <w:r w:rsidR="00387E8B">
          <w:rPr>
            <w:noProof/>
          </w:rPr>
          <w:t>1</w:t>
        </w:r>
        <w:r>
          <w:fldChar w:fldCharType="end"/>
        </w:r>
      </w:p>
    </w:sdtContent>
  </w:sdt>
  <w:p w:rsidR="009A189A" w:rsidRDefault="00387E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ADD" w:rsidRDefault="00986ADD" w:rsidP="00E37A72">
      <w:pPr>
        <w:spacing w:after="0" w:line="240" w:lineRule="auto"/>
      </w:pPr>
      <w:r>
        <w:separator/>
      </w:r>
    </w:p>
  </w:footnote>
  <w:footnote w:type="continuationSeparator" w:id="0">
    <w:p w:rsidR="00986ADD" w:rsidRDefault="00986ADD" w:rsidP="00E37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92" w:rsidRPr="00783492" w:rsidRDefault="00E37A72" w:rsidP="00783492">
    <w:pPr>
      <w:tabs>
        <w:tab w:val="center" w:pos="4536"/>
        <w:tab w:val="right" w:pos="9072"/>
      </w:tabs>
      <w:spacing w:after="0" w:line="240" w:lineRule="auto"/>
      <w:rPr>
        <w:rFonts w:ascii="Arial" w:eastAsia="Times New Roman" w:hAnsi="Arial" w:cs="Arial"/>
        <w:b/>
        <w:i/>
        <w:color w:val="808080"/>
        <w:sz w:val="20"/>
        <w:szCs w:val="20"/>
        <w:lang w:eastAsia="cs-CZ"/>
      </w:rPr>
    </w:pPr>
    <w:r>
      <w:rPr>
        <w:rFonts w:ascii="Arial" w:eastAsia="Times New Roman" w:hAnsi="Arial" w:cs="Arial"/>
        <w:b/>
        <w:i/>
        <w:color w:val="808080"/>
        <w:sz w:val="20"/>
        <w:szCs w:val="20"/>
        <w:lang w:eastAsia="cs-CZ"/>
      </w:rPr>
      <w:t>Právní názor č. 3</w:t>
    </w:r>
    <w:r w:rsidR="009F28DA">
      <w:rPr>
        <w:rFonts w:ascii="Arial" w:eastAsia="Times New Roman" w:hAnsi="Arial" w:cs="Arial"/>
        <w:b/>
        <w:i/>
        <w:color w:val="808080"/>
        <w:sz w:val="20"/>
        <w:szCs w:val="20"/>
        <w:lang w:eastAsia="cs-CZ"/>
      </w:rPr>
      <w:t>/2022</w:t>
    </w:r>
  </w:p>
  <w:p w:rsidR="00783492" w:rsidRPr="00783492" w:rsidRDefault="009F28DA" w:rsidP="00783492">
    <w:pPr>
      <w:tabs>
        <w:tab w:val="center" w:pos="4536"/>
        <w:tab w:val="right" w:pos="9072"/>
      </w:tabs>
      <w:spacing w:after="0" w:line="240" w:lineRule="auto"/>
      <w:rPr>
        <w:rFonts w:ascii="Arial" w:eastAsia="Times New Roman" w:hAnsi="Arial" w:cs="Arial"/>
        <w:b/>
        <w:i/>
        <w:color w:val="808080"/>
        <w:sz w:val="20"/>
        <w:szCs w:val="20"/>
        <w:lang w:eastAsia="cs-CZ"/>
      </w:rPr>
    </w:pPr>
    <w:r w:rsidRPr="00783492">
      <w:rPr>
        <w:rFonts w:ascii="Arial" w:eastAsia="Times New Roman" w:hAnsi="Arial" w:cs="Arial"/>
        <w:b/>
        <w:i/>
        <w:color w:val="808080"/>
        <w:sz w:val="20"/>
        <w:szCs w:val="20"/>
        <w:lang w:eastAsia="cs-CZ"/>
      </w:rPr>
      <w:t>Krajský úřad Karlovarského kraje, odbor stavební úřad</w:t>
    </w:r>
  </w:p>
  <w:p w:rsidR="00783492" w:rsidRPr="00783492" w:rsidRDefault="008D360E" w:rsidP="00783492">
    <w:pPr>
      <w:tabs>
        <w:tab w:val="center" w:pos="4536"/>
        <w:tab w:val="right" w:pos="9072"/>
      </w:tabs>
      <w:spacing w:after="0" w:line="240" w:lineRule="auto"/>
      <w:rPr>
        <w:rFonts w:ascii="Arial" w:eastAsia="Times New Roman" w:hAnsi="Arial" w:cs="Arial"/>
        <w:b/>
        <w:i/>
        <w:color w:val="808080"/>
        <w:sz w:val="20"/>
        <w:szCs w:val="20"/>
        <w:lang w:eastAsia="cs-CZ"/>
      </w:rPr>
    </w:pPr>
    <w:r>
      <w:rPr>
        <w:rFonts w:ascii="Arial" w:eastAsia="Times New Roman" w:hAnsi="Arial" w:cs="Arial"/>
        <w:b/>
        <w:i/>
        <w:color w:val="808080"/>
        <w:sz w:val="20"/>
        <w:szCs w:val="20"/>
        <w:lang w:eastAsia="cs-CZ"/>
      </w:rPr>
      <w:t>24</w:t>
    </w:r>
    <w:r w:rsidR="009F28DA">
      <w:rPr>
        <w:rFonts w:ascii="Arial" w:eastAsia="Times New Roman" w:hAnsi="Arial" w:cs="Arial"/>
        <w:b/>
        <w:i/>
        <w:color w:val="808080"/>
        <w:sz w:val="20"/>
        <w:szCs w:val="20"/>
        <w:lang w:eastAsia="cs-CZ"/>
      </w:rPr>
      <w:t xml:space="preserve">. </w:t>
    </w:r>
    <w:r w:rsidR="00E37A72">
      <w:rPr>
        <w:rFonts w:ascii="Arial" w:eastAsia="Times New Roman" w:hAnsi="Arial" w:cs="Arial"/>
        <w:b/>
        <w:i/>
        <w:color w:val="808080"/>
        <w:sz w:val="20"/>
        <w:szCs w:val="20"/>
        <w:lang w:eastAsia="cs-CZ"/>
      </w:rPr>
      <w:t>11</w:t>
    </w:r>
    <w:r w:rsidR="009F28DA">
      <w:rPr>
        <w:rFonts w:ascii="Arial" w:eastAsia="Times New Roman" w:hAnsi="Arial" w:cs="Arial"/>
        <w:b/>
        <w:i/>
        <w:color w:val="808080"/>
        <w:sz w:val="20"/>
        <w:szCs w:val="20"/>
        <w:lang w:eastAsia="cs-CZ"/>
      </w:rPr>
      <w:t>. 2022</w:t>
    </w:r>
  </w:p>
  <w:p w:rsidR="00783492" w:rsidRDefault="00387E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95DD6"/>
    <w:multiLevelType w:val="hybridMultilevel"/>
    <w:tmpl w:val="531CE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A72"/>
    <w:rsid w:val="00024FEE"/>
    <w:rsid w:val="00042700"/>
    <w:rsid w:val="0020404A"/>
    <w:rsid w:val="00211573"/>
    <w:rsid w:val="00387E8B"/>
    <w:rsid w:val="003A65EE"/>
    <w:rsid w:val="003D0B4D"/>
    <w:rsid w:val="006462FA"/>
    <w:rsid w:val="007227BD"/>
    <w:rsid w:val="00723A3B"/>
    <w:rsid w:val="00875BF3"/>
    <w:rsid w:val="008D360E"/>
    <w:rsid w:val="00921E1D"/>
    <w:rsid w:val="00947F53"/>
    <w:rsid w:val="00986ADD"/>
    <w:rsid w:val="009F28DA"/>
    <w:rsid w:val="00C159C4"/>
    <w:rsid w:val="00D373A8"/>
    <w:rsid w:val="00D62080"/>
    <w:rsid w:val="00E37A72"/>
    <w:rsid w:val="00E771DF"/>
    <w:rsid w:val="00E87D46"/>
    <w:rsid w:val="00EC212A"/>
    <w:rsid w:val="00EC3621"/>
    <w:rsid w:val="00EF6320"/>
    <w:rsid w:val="00FB6D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A7252-DF79-491F-853F-7DE34980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7A7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37A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7A72"/>
  </w:style>
  <w:style w:type="paragraph" w:styleId="Zpat">
    <w:name w:val="footer"/>
    <w:basedOn w:val="Normln"/>
    <w:link w:val="ZpatChar"/>
    <w:uiPriority w:val="99"/>
    <w:unhideWhenUsed/>
    <w:rsid w:val="00E37A72"/>
    <w:pPr>
      <w:tabs>
        <w:tab w:val="center" w:pos="4536"/>
        <w:tab w:val="right" w:pos="9072"/>
      </w:tabs>
      <w:spacing w:after="0" w:line="240" w:lineRule="auto"/>
    </w:pPr>
  </w:style>
  <w:style w:type="character" w:customStyle="1" w:styleId="ZpatChar">
    <w:name w:val="Zápatí Char"/>
    <w:basedOn w:val="Standardnpsmoodstavce"/>
    <w:link w:val="Zpat"/>
    <w:uiPriority w:val="99"/>
    <w:rsid w:val="00E37A72"/>
  </w:style>
  <w:style w:type="character" w:styleId="Hypertextovodkaz">
    <w:name w:val="Hyperlink"/>
    <w:basedOn w:val="Standardnpsmoodstavce"/>
    <w:uiPriority w:val="99"/>
    <w:unhideWhenUsed/>
    <w:rsid w:val="00E37A72"/>
    <w:rPr>
      <w:color w:val="0563C1" w:themeColor="hyperlink"/>
      <w:u w:val="single"/>
    </w:rPr>
  </w:style>
  <w:style w:type="paragraph" w:customStyle="1" w:styleId="Default">
    <w:name w:val="Default"/>
    <w:rsid w:val="00921E1D"/>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EC212A"/>
    <w:pPr>
      <w:ind w:left="720"/>
      <w:contextualSpacing/>
    </w:pPr>
  </w:style>
  <w:style w:type="table" w:styleId="Mkatabulky">
    <w:name w:val="Table Grid"/>
    <w:basedOn w:val="Normlntabulka"/>
    <w:uiPriority w:val="39"/>
    <w:rsid w:val="0020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C362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36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059EA9A7CEAE4DB0116DF57C327FEF" ma:contentTypeVersion="1" ma:contentTypeDescription="Vytvoří nový dokument" ma:contentTypeScope="" ma:versionID="c15a503c8329b9bb67d5f137e29c4eb1">
  <xsd:schema xmlns:xsd="http://www.w3.org/2001/XMLSchema" xmlns:xs="http://www.w3.org/2001/XMLSchema" xmlns:p="http://schemas.microsoft.com/office/2006/metadata/properties" xmlns:ns1="http://schemas.microsoft.com/sharepoint/v3" xmlns:ns2="d11e3b38-363a-42a7-8fbf-529eb085d43d" targetNamespace="http://schemas.microsoft.com/office/2006/metadata/properties" ma:root="true" ma:fieldsID="8d61749996fa65ce522923449e9db1c3" ns1:_="" ns2:_="">
    <xsd:import namespace="http://schemas.microsoft.com/sharepoint/v3"/>
    <xsd:import namespace="d11e3b38-363a-42a7-8fbf-529eb085d43d"/>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1e3b38-363a-42a7-8fbf-529eb085d43d"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d11e3b38-363a-42a7-8fbf-529eb085d43d"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5FD121-9D08-43D1-8118-245C8D2E53D2}"/>
</file>

<file path=customXml/itemProps2.xml><?xml version="1.0" encoding="utf-8"?>
<ds:datastoreItem xmlns:ds="http://schemas.openxmlformats.org/officeDocument/2006/customXml" ds:itemID="{07E83A09-9CCF-4B54-A6C0-9BC86E75A0C5}"/>
</file>

<file path=customXml/itemProps3.xml><?xml version="1.0" encoding="utf-8"?>
<ds:datastoreItem xmlns:ds="http://schemas.openxmlformats.org/officeDocument/2006/customXml" ds:itemID="{6D8CB0E2-C351-4105-979C-D0E7FB276C36}"/>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3797</Characters>
  <Application>Microsoft Office Word</Application>
  <DocSecurity>4</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Šnajdrová Lucie</dc:creator>
  <cp:keywords/>
  <dc:description/>
  <cp:lastModifiedBy>Mrázová Michaela</cp:lastModifiedBy>
  <cp:revision>2</cp:revision>
  <cp:lastPrinted>2022-11-23T08:28:00Z</cp:lastPrinted>
  <dcterms:created xsi:type="dcterms:W3CDTF">2022-11-28T15:33:00Z</dcterms:created>
  <dcterms:modified xsi:type="dcterms:W3CDTF">2022-11-28T15:33:00Z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0x01010056059EA9A7CEAE4DB0116DF57C327FEF</vt:lpwstr>
  </property>
</Properties>
</file>