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F6" w:rsidRPr="00217AEF" w:rsidRDefault="00BC1AF6" w:rsidP="00BC1AF6">
      <w:pPr>
        <w:rPr>
          <w:rFonts w:ascii="Helvetica" w:hAnsi="Helvetica"/>
          <w:b/>
        </w:rPr>
      </w:pPr>
      <w:bookmarkStart w:id="0" w:name="_GoBack"/>
      <w:bookmarkEnd w:id="0"/>
      <w:r>
        <w:rPr>
          <w:rFonts w:ascii="Helvetica" w:hAnsi="Helvetica"/>
          <w:b/>
        </w:rPr>
        <w:t>Příloha 1</w:t>
      </w:r>
      <w:r w:rsidRPr="00217AEF">
        <w:rPr>
          <w:rFonts w:ascii="Helvetica" w:hAnsi="Helvetica"/>
          <w:b/>
        </w:rPr>
        <w:t xml:space="preserve">: </w:t>
      </w:r>
    </w:p>
    <w:p w:rsidR="00BC1AF6" w:rsidRPr="00BC1AF6" w:rsidRDefault="00BC1AF6" w:rsidP="00BC1AF6">
      <w:pPr>
        <w:spacing w:line="360" w:lineRule="auto"/>
        <w:ind w:left="360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br/>
      </w:r>
    </w:p>
    <w:p w:rsidR="00BC1AF6" w:rsidRPr="00BC1AF6" w:rsidRDefault="00BC1AF6" w:rsidP="00BC1AF6">
      <w:pPr>
        <w:spacing w:line="360" w:lineRule="auto"/>
        <w:ind w:left="360"/>
        <w:rPr>
          <w:rFonts w:ascii="Helvetica" w:eastAsia="Times New Roman" w:hAnsi="Helvetica" w:cs="Times New Roman"/>
          <w:b/>
          <w:color w:val="1D2129"/>
        </w:rPr>
      </w:pPr>
      <w:r w:rsidRPr="00BC1AF6">
        <w:rPr>
          <w:rFonts w:ascii="Helvetica" w:eastAsia="Times New Roman" w:hAnsi="Helvetica" w:cs="Times New Roman"/>
          <w:b/>
          <w:color w:val="1D2129"/>
        </w:rPr>
        <w:t xml:space="preserve">Přehled vzdělávacích kurzů vhodných pro poskytovatele sociálních a školských poradenských služeb pro lidi s PAS - možnosti vzdělávání </w:t>
      </w:r>
    </w:p>
    <w:p w:rsidR="00BC1AF6" w:rsidRPr="00BC1AF6" w:rsidRDefault="00BC1AF6" w:rsidP="00BC1AF6">
      <w:pPr>
        <w:pStyle w:val="Odstavecseseznamem"/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Alternativní a podpůrné metody komunikace u dětí s poruchami autistického spektra se zaměřením na výměnné obrázkové systémy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Zaměstnávání a integrace dospívajících a dospělých lidí s Aspergerovým syndromem a vysoce funkčním autismem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Skupinová analýza chování dětí s Aspergerovým syndromem a vysoce funkčním autismem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Dítě s poruchou autistického spektra v mateřské škole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Myšlení a chování lidí s poruchou autistického spektra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Jak rozeznat autismus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Psychohygienická a psychoterapeutická podpora rodičů dětí s Aspergerovým syndromem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Nácvik </w:t>
      </w:r>
      <w:proofErr w:type="spellStart"/>
      <w:r w:rsidRPr="00BC1AF6">
        <w:rPr>
          <w:rFonts w:ascii="Helvetica" w:eastAsia="Times New Roman" w:hAnsi="Helvetica" w:cs="Times New Roman"/>
          <w:color w:val="1D2129"/>
        </w:rPr>
        <w:t>sebeobslužných</w:t>
      </w:r>
      <w:proofErr w:type="spellEnd"/>
      <w:r w:rsidRPr="00BC1AF6">
        <w:rPr>
          <w:rFonts w:ascii="Helvetica" w:eastAsia="Times New Roman" w:hAnsi="Helvetica" w:cs="Times New Roman"/>
          <w:color w:val="1D2129"/>
        </w:rPr>
        <w:t xml:space="preserve"> a praktických dovedností u dětí s poruchami autistického spektra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Náplň dne u klientů s těžkým až hlubokým mentálním postižením (terapie klientů a terapie personálu)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Poruchy autistického spektra bez intelektového handicapu, Aspergerův syndrom, autismus, přístup a metody práce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Poruchy autistického spektra pojící se s mentálním handicapem, přístup a metody práce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Použití fyzické restrikce u klientů s chováním náročným na péči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lastRenderedPageBreak/>
        <w:t>Práce s impulzivním chováním a ADHD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Práce s úzkostmi, rituály a dalšími přidruženými poruchami u lidí s autismem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Prevence šikany u dětí a dospívajících s Aspergerovým syndromem a vysoce funkčním autismem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Překonávání obtíží při začlenění žáka s poruchou autistického spektra do kolektivu třídy, ovlivňování klimatu třídy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Rozvoj komunikace a sociálních dovedností u dětí s Aspergerovým syndromem a vysoce funkčním autismem v předškolním věku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Rozvoj sociálních a komunikačních dovedností u dětí a dospělých a Aspergerovým syndromem a vysoce funkčním autismem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Rozvoj sociálních dovedností u dětí s poruchami autistického spektra (středně a nízko funkčních)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Řeč a problematika komunikace u osob s poruchou autistického spektra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Syndrom vyhoření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Seminář pro rodiče dětí s poruchami autistického spektra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Video modeling – Možnosti využití videa pro rozvoj dovedností dětí s poruchami autistického spektra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Volný čas a rozvoj hry u dítěte s poruchou autistického spektra</w:t>
      </w:r>
      <w:r w:rsidRPr="00BC1AF6">
        <w:rPr>
          <w:rFonts w:ascii="Helvetica" w:eastAsia="Times New Roman" w:hAnsi="Helvetica" w:cs="Times New Roman"/>
          <w:color w:val="1D2129"/>
        </w:rPr>
        <w:br/>
      </w: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Vzdělávání dětí s poruchami autistického spektra v integraci (včetně návštěvy třídy)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>Vzdělávání dětí s poruchami autistického spektra ve speciálních školách (včetně návštěvy třídy)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Vztahy, intimita a sexualita lidí s mentálním postižením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lastRenderedPageBreak/>
        <w:t>Základy sebeochrany při individuální práci s klientem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Zvládání agrese a </w:t>
      </w:r>
      <w:proofErr w:type="spellStart"/>
      <w:r w:rsidRPr="00BC1AF6">
        <w:rPr>
          <w:rFonts w:ascii="Helvetica" w:eastAsia="Times New Roman" w:hAnsi="Helvetica" w:cs="Times New Roman"/>
          <w:color w:val="1D2129"/>
        </w:rPr>
        <w:t>autoagrese</w:t>
      </w:r>
      <w:proofErr w:type="spellEnd"/>
      <w:r w:rsidRPr="00BC1AF6">
        <w:rPr>
          <w:rFonts w:ascii="Helvetica" w:eastAsia="Times New Roman" w:hAnsi="Helvetica" w:cs="Times New Roman"/>
          <w:color w:val="1D2129"/>
        </w:rPr>
        <w:t xml:space="preserve"> u osob s poruchami autistického spektra bez mentální retardace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pStyle w:val="Odstavecseseznamem"/>
        <w:numPr>
          <w:ilvl w:val="0"/>
          <w:numId w:val="1"/>
        </w:num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t xml:space="preserve">Zvládání verbální agrese u lidí s mentálním postižením a/nebo s autismem </w:t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  <w:r w:rsidRPr="00BC1AF6">
        <w:rPr>
          <w:rFonts w:ascii="Helvetica" w:eastAsia="Times New Roman" w:hAnsi="Helvetica" w:cs="Times New Roman"/>
          <w:color w:val="1D2129"/>
        </w:rPr>
        <w:br/>
      </w:r>
    </w:p>
    <w:p w:rsidR="00BC1AF6" w:rsidRPr="00BC1AF6" w:rsidRDefault="00BC1AF6" w:rsidP="00BC1AF6">
      <w:pPr>
        <w:spacing w:line="360" w:lineRule="auto"/>
        <w:rPr>
          <w:rFonts w:ascii="Helvetica" w:eastAsia="Times New Roman" w:hAnsi="Helvetica" w:cs="Times New Roman"/>
          <w:color w:val="1D2129"/>
        </w:rPr>
      </w:pPr>
    </w:p>
    <w:p w:rsidR="00133B1E" w:rsidRPr="00BC1AF6" w:rsidRDefault="00133B1E" w:rsidP="00BC1AF6">
      <w:pPr>
        <w:spacing w:line="360" w:lineRule="auto"/>
        <w:rPr>
          <w:rFonts w:ascii="Helvetica" w:hAnsi="Helvetica"/>
        </w:rPr>
      </w:pPr>
    </w:p>
    <w:sectPr w:rsidR="00133B1E" w:rsidRPr="00BC1AF6" w:rsidSect="00133B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5F4E"/>
    <w:multiLevelType w:val="hybridMultilevel"/>
    <w:tmpl w:val="D67E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F6"/>
    <w:rsid w:val="00133B1E"/>
    <w:rsid w:val="007A2E44"/>
    <w:rsid w:val="00B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7F1030F-CCEB-488A-AD6F-D232D22C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AF6"/>
    <w:pPr>
      <w:ind w:left="720"/>
      <w:contextualSpacing/>
    </w:pPr>
  </w:style>
  <w:style w:type="table" w:customStyle="1" w:styleId="TableGridPHPDOCX">
    <w:name w:val="Table Grid PHPDOCX"/>
    <w:uiPriority w:val="59"/>
    <w:rsid w:val="00BC1AF6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6427E-8B6E-4B74-8163-7F38164F6C0F}"/>
</file>

<file path=customXml/itemProps2.xml><?xml version="1.0" encoding="utf-8"?>
<ds:datastoreItem xmlns:ds="http://schemas.openxmlformats.org/officeDocument/2006/customXml" ds:itemID="{97F1244F-2483-4A37-AAB9-DD9394B1443D}"/>
</file>

<file path=customXml/itemProps3.xml><?xml version="1.0" encoding="utf-8"?>
<ds:datastoreItem xmlns:ds="http://schemas.openxmlformats.org/officeDocument/2006/customXml" ds:itemID="{C0269300-8F4F-4671-A328-1624BD152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Čáslavská</dc:creator>
  <cp:keywords/>
  <dc:description/>
  <cp:lastModifiedBy>Pilařová Jana</cp:lastModifiedBy>
  <cp:revision>2</cp:revision>
  <cp:lastPrinted>2018-10-30T15:52:00Z</cp:lastPrinted>
  <dcterms:created xsi:type="dcterms:W3CDTF">2019-02-11T12:19:00Z</dcterms:created>
  <dcterms:modified xsi:type="dcterms:W3CDTF">2019-02-11T12:19:00Z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Order">
    <vt:r8>1549700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MigrationSourceURL1">
    <vt:lpwstr/>
  </property>
  <property fmtid="{D5CDD505-2E9C-101B-9397-08002B2CF9AE}" pid="13" name="PublishingContactName">
    <vt:lpwstr/>
  </property>
  <property fmtid="{D5CDD505-2E9C-101B-9397-08002B2CF9AE}" pid="14" name="PublishingVariationRelationshipLinkFieldID">
    <vt:lpwstr/>
  </property>
  <property fmtid="{D5CDD505-2E9C-101B-9397-08002B2CF9AE}" pid="15" name="ObsahClanku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TemplateUrl">
    <vt:lpwstr/>
  </property>
  <property fmtid="{D5CDD505-2E9C-101B-9397-08002B2CF9AE}" pid="21" name="Audience">
    <vt:lpwstr/>
  </property>
</Properties>
</file>