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E3B9B" w14:textId="68200FEC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03041C">
        <w:rPr>
          <w:rFonts w:eastAsia="Times New Roman"/>
          <w:lang w:eastAsia="cs-CZ"/>
        </w:rPr>
        <w:t>…………………..</w:t>
      </w:r>
    </w:p>
    <w:p w14:paraId="0F3180C1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79251E9D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20145736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76274EE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272C9EC9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75D45411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6DAA0237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E23E381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31DB9884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5076D2D3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7982BE71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27D0F46E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163DF1B6" w14:textId="77777777" w:rsidR="005473F0" w:rsidRPr="0096502F" w:rsidRDefault="00C04C7E" w:rsidP="005473F0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473F0" w:rsidRPr="005F45A2">
        <w:rPr>
          <w:rFonts w:eastAsia="Times New Roman"/>
          <w:lang w:eastAsia="cs-CZ"/>
        </w:rPr>
        <w:t>Ing. Petrem Kulhánkem, hejtmanem Karlovarského kraje</w:t>
      </w:r>
    </w:p>
    <w:p w14:paraId="616E8D1C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69285BA3" w14:textId="77777777" w:rsidR="003A2F90" w:rsidRDefault="003A2F90" w:rsidP="00C56CA3">
      <w:pPr>
        <w:pStyle w:val="Bezmezer"/>
      </w:pPr>
      <w:bookmarkStart w:id="1" w:name="Banka"/>
      <w:r>
        <w:t xml:space="preserve">       </w:t>
      </w:r>
      <w:r w:rsidR="007457DA">
        <w:tab/>
      </w:r>
      <w:r w:rsidR="007457DA">
        <w:tab/>
      </w:r>
      <w:r w:rsidR="007457DA">
        <w:tab/>
      </w:r>
      <w:r>
        <w:t>Komerční banka, a.s.                               číslo účtu    27-5622800267/0100</w:t>
      </w:r>
    </w:p>
    <w:p w14:paraId="4C506EB4" w14:textId="221914AE" w:rsidR="003A2F90" w:rsidRDefault="003A2F90" w:rsidP="00C56CA3">
      <w:pPr>
        <w:pStyle w:val="Bezmezer"/>
      </w:pPr>
      <w:r>
        <w:t>případně další účty:</w:t>
      </w:r>
      <w:r w:rsidR="003407AA">
        <w:tab/>
      </w:r>
      <w:r>
        <w:t>Československá obchodní banka, a.</w:t>
      </w:r>
      <w:r w:rsidR="0097749A">
        <w:t xml:space="preserve"> </w:t>
      </w:r>
      <w:r>
        <w:t>s.    číslo účtu    197889578/0300</w:t>
      </w:r>
    </w:p>
    <w:p w14:paraId="44B3DE36" w14:textId="77777777" w:rsidR="003A2F90" w:rsidRDefault="003A2F90" w:rsidP="00C56CA3">
      <w:pPr>
        <w:pStyle w:val="Bezmezer"/>
      </w:pPr>
      <w:r>
        <w:t xml:space="preserve">       </w:t>
      </w:r>
      <w:r w:rsidR="007457DA">
        <w:tab/>
      </w:r>
      <w:r w:rsidR="007457DA">
        <w:tab/>
      </w:r>
      <w:r w:rsidR="007457DA">
        <w:tab/>
      </w:r>
      <w:r>
        <w:t>Česká spořitelna, a.s.                               číslo účtu    7613272/0800</w:t>
      </w:r>
    </w:p>
    <w:p w14:paraId="436089E5" w14:textId="373B27C2" w:rsidR="003A2F90" w:rsidRDefault="003A2F90" w:rsidP="00C56CA3">
      <w:pPr>
        <w:pStyle w:val="Bezmezer"/>
      </w:pPr>
      <w:r>
        <w:t xml:space="preserve">       </w:t>
      </w:r>
      <w:r w:rsidR="007457DA">
        <w:tab/>
      </w:r>
      <w:r w:rsidR="007457DA">
        <w:tab/>
      </w:r>
      <w:r w:rsidR="007457DA">
        <w:tab/>
      </w:r>
      <w:r>
        <w:t xml:space="preserve">PPF banka a.s.                                 </w:t>
      </w:r>
      <w:r w:rsidR="0097749A">
        <w:t xml:space="preserve"> </w:t>
      </w:r>
      <w:r>
        <w:t xml:space="preserve">       číslo účtu    2022990024/6000</w:t>
      </w:r>
    </w:p>
    <w:bookmarkEnd w:id="1"/>
    <w:p w14:paraId="6996EC95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5DFEFA87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3924DB">
        <w:rPr>
          <w:rFonts w:eastAsia="Times New Roman"/>
          <w:lang w:eastAsia="cs-CZ"/>
        </w:rPr>
        <w:t xml:space="preserve"> investic</w:t>
      </w:r>
    </w:p>
    <w:p w14:paraId="19DDE430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7087C26D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233ACA42" w14:textId="21C1CA3A" w:rsidR="009A5CD4" w:rsidRDefault="009A5CD4" w:rsidP="00BA653A">
      <w:pPr>
        <w:spacing w:after="0" w:line="240" w:lineRule="auto"/>
        <w:rPr>
          <w:rFonts w:eastAsia="Times New Roman"/>
          <w:lang w:eastAsia="cs-CZ"/>
        </w:rPr>
      </w:pPr>
    </w:p>
    <w:p w14:paraId="2277D921" w14:textId="77777777" w:rsidR="00BC5EAB" w:rsidRPr="0096502F" w:rsidRDefault="00BC5EAB" w:rsidP="00BA653A">
      <w:pPr>
        <w:spacing w:after="0" w:line="240" w:lineRule="auto"/>
        <w:rPr>
          <w:rFonts w:eastAsia="Times New Roman"/>
          <w:lang w:eastAsia="cs-CZ"/>
        </w:rPr>
      </w:pPr>
    </w:p>
    <w:p w14:paraId="216E06CB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150751CC" w14:textId="77777777" w:rsidR="00335E00" w:rsidRDefault="00335E00" w:rsidP="00C56CA3">
      <w:pPr>
        <w:pStyle w:val="Bezmezer"/>
      </w:pPr>
    </w:p>
    <w:p w14:paraId="54D9AD7D" w14:textId="77777777" w:rsidR="009A5CD4" w:rsidRPr="001F070A" w:rsidRDefault="009A5CD4" w:rsidP="00C56CA3">
      <w:pPr>
        <w:pStyle w:val="Bezmezer"/>
      </w:pPr>
    </w:p>
    <w:p w14:paraId="3DE17EF5" w14:textId="77777777" w:rsidR="00BA653A" w:rsidRDefault="007457DA" w:rsidP="00C56CA3">
      <w:pPr>
        <w:pStyle w:val="Bezmezer"/>
        <w:rPr>
          <w:b/>
          <w:bCs/>
        </w:rPr>
      </w:pPr>
      <w:r>
        <w:rPr>
          <w:b/>
          <w:bCs/>
        </w:rPr>
        <w:t>Název právnické osoby</w:t>
      </w:r>
    </w:p>
    <w:p w14:paraId="0ED06216" w14:textId="77777777" w:rsidR="003A2F90" w:rsidRDefault="003A2F90" w:rsidP="00C56CA3">
      <w:pPr>
        <w:pStyle w:val="Bezmezer"/>
      </w:pPr>
      <w:bookmarkStart w:id="2" w:name="zadatel_nac"/>
      <w:r>
        <w:t xml:space="preserve">Adresa sídla:  </w:t>
      </w:r>
      <w:r w:rsidR="00154A88">
        <w:tab/>
      </w:r>
      <w:r w:rsidR="00154A88">
        <w:tab/>
      </w:r>
      <w:r w:rsidR="00154A88">
        <w:tab/>
      </w:r>
      <w:r w:rsidR="00154A88">
        <w:tab/>
      </w:r>
    </w:p>
    <w:p w14:paraId="6B4F9ABD" w14:textId="77777777" w:rsidR="003A2F90" w:rsidRDefault="003A2F90" w:rsidP="00C56CA3">
      <w:pPr>
        <w:pStyle w:val="Bezmezer"/>
      </w:pPr>
      <w:r>
        <w:t xml:space="preserve">Identifikační číslo:  </w:t>
      </w:r>
      <w:r w:rsidR="00154A88">
        <w:tab/>
      </w:r>
      <w:r w:rsidR="00154A88">
        <w:tab/>
      </w:r>
      <w:r>
        <w:t xml:space="preserve"> </w:t>
      </w:r>
      <w:r w:rsidR="00154A88">
        <w:tab/>
      </w:r>
    </w:p>
    <w:p w14:paraId="67F04011" w14:textId="77777777" w:rsidR="003A2F90" w:rsidRDefault="003A2F90" w:rsidP="00C56CA3">
      <w:pPr>
        <w:pStyle w:val="Bezmezer"/>
      </w:pPr>
      <w:r>
        <w:t xml:space="preserve">Právní forma:   </w:t>
      </w:r>
      <w:r w:rsidR="00154A88">
        <w:tab/>
      </w:r>
      <w:r w:rsidR="00154A88">
        <w:tab/>
      </w:r>
      <w:r w:rsidR="00154A88">
        <w:tab/>
      </w:r>
      <w:r w:rsidR="00154A88">
        <w:tab/>
      </w:r>
    </w:p>
    <w:p w14:paraId="06D6AC50" w14:textId="77777777" w:rsidR="003A2F90" w:rsidRDefault="003A2F90" w:rsidP="00C56CA3">
      <w:pPr>
        <w:pStyle w:val="Bezmezer"/>
      </w:pPr>
      <w:r>
        <w:t xml:space="preserve">Zastoupený: </w:t>
      </w:r>
      <w:r w:rsidR="00154A88">
        <w:tab/>
      </w:r>
      <w:r w:rsidR="00154A88">
        <w:tab/>
      </w:r>
      <w:r w:rsidR="00154A88">
        <w:tab/>
      </w:r>
      <w:r w:rsidR="00154A88">
        <w:tab/>
      </w:r>
    </w:p>
    <w:p w14:paraId="749D2E42" w14:textId="77777777" w:rsidR="00154A88" w:rsidRDefault="003A2F90" w:rsidP="00C56CA3">
      <w:pPr>
        <w:pStyle w:val="Bezmezer"/>
      </w:pPr>
      <w:r>
        <w:t xml:space="preserve">Bankovní spojení:   </w:t>
      </w:r>
      <w:r w:rsidR="00154A88">
        <w:tab/>
      </w:r>
      <w:r w:rsidR="00154A88">
        <w:tab/>
      </w:r>
      <w:r w:rsidR="00154A88">
        <w:tab/>
      </w:r>
      <w:r>
        <w:t xml:space="preserve">                   </w:t>
      </w:r>
    </w:p>
    <w:p w14:paraId="4D0498D4" w14:textId="77777777" w:rsidR="003A2F90" w:rsidRDefault="003A2F90" w:rsidP="00C56CA3">
      <w:pPr>
        <w:pStyle w:val="Bezmezer"/>
      </w:pPr>
      <w:r>
        <w:t xml:space="preserve">číslo účtu: </w:t>
      </w:r>
      <w:r w:rsidR="00154A88">
        <w:tab/>
      </w:r>
      <w:r w:rsidR="00154A88">
        <w:tab/>
      </w:r>
      <w:r w:rsidR="00154A88">
        <w:tab/>
      </w:r>
      <w:r w:rsidR="00154A88">
        <w:tab/>
      </w:r>
    </w:p>
    <w:p w14:paraId="4467EAC9" w14:textId="77777777" w:rsidR="003A2F90" w:rsidRDefault="003A2F90" w:rsidP="00C56CA3">
      <w:pPr>
        <w:pStyle w:val="Bezmezer"/>
      </w:pPr>
      <w:r>
        <w:t xml:space="preserve">E -mail:        </w:t>
      </w:r>
      <w:r w:rsidR="00154A88">
        <w:tab/>
      </w:r>
      <w:r w:rsidR="00154A88">
        <w:tab/>
      </w:r>
      <w:r w:rsidR="00154A88">
        <w:tab/>
      </w:r>
      <w:r w:rsidR="00154A88">
        <w:tab/>
      </w:r>
    </w:p>
    <w:p w14:paraId="61A6FED4" w14:textId="77777777" w:rsidR="0021737F" w:rsidRPr="002D5A59" w:rsidRDefault="007457DA" w:rsidP="00C56CA3">
      <w:pPr>
        <w:pStyle w:val="Bezmezer"/>
      </w:pPr>
      <w:bookmarkStart w:id="3" w:name="dphSel"/>
      <w:bookmarkEnd w:id="3"/>
      <w:r>
        <w:t xml:space="preserve">Je plátce DPH a DPH je/není uznatelným výdajem. / </w:t>
      </w:r>
      <w:r w:rsidR="002D5B01">
        <w:t>Není plátce DPH a DPH je uznatelným výdajem.</w:t>
      </w:r>
    </w:p>
    <w:p w14:paraId="5E8AF4BD" w14:textId="77777777" w:rsidR="00530F17" w:rsidRDefault="00D90D7A" w:rsidP="00C56CA3">
      <w:pPr>
        <w:pStyle w:val="Bezmezer"/>
        <w:rPr>
          <w:bCs/>
        </w:rPr>
      </w:pPr>
      <w:bookmarkStart w:id="4" w:name="zrizovatel"/>
      <w:bookmarkEnd w:id="2"/>
      <w:bookmarkEnd w:id="4"/>
      <w:r w:rsidRPr="00D90D7A">
        <w:rPr>
          <w:bCs/>
        </w:rPr>
        <w:t>(dále jen „příjemce“)</w:t>
      </w:r>
    </w:p>
    <w:p w14:paraId="13DBDBD1" w14:textId="77777777" w:rsidR="00D90D7A" w:rsidRPr="00D90D7A" w:rsidRDefault="00D90D7A" w:rsidP="00C56CA3">
      <w:pPr>
        <w:pStyle w:val="Bezmezer"/>
        <w:rPr>
          <w:bCs/>
        </w:rPr>
      </w:pPr>
      <w:r>
        <w:rPr>
          <w:bCs/>
        </w:rPr>
        <w:t>(společně dále jako „smluvní strany“)</w:t>
      </w:r>
    </w:p>
    <w:p w14:paraId="4340B43B" w14:textId="13D90731" w:rsidR="009C2738" w:rsidRDefault="009C2738" w:rsidP="00C56CA3">
      <w:pPr>
        <w:pStyle w:val="Bezmezer"/>
      </w:pPr>
      <w:bookmarkStart w:id="5" w:name="zrizovatel_nac"/>
      <w:bookmarkEnd w:id="5"/>
    </w:p>
    <w:p w14:paraId="516236DD" w14:textId="77777777" w:rsidR="00A95676" w:rsidRDefault="00A95676" w:rsidP="00C56CA3">
      <w:pPr>
        <w:pStyle w:val="Bezmezer"/>
      </w:pPr>
    </w:p>
    <w:p w14:paraId="3FDF9CB8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008C0FEC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16FBC12" w14:textId="523726FD" w:rsidR="0092381C" w:rsidRPr="00C55358" w:rsidRDefault="003A2F90" w:rsidP="00C55358">
      <w:pPr>
        <w:pStyle w:val="Odstavecseseznamem"/>
        <w:numPr>
          <w:ilvl w:val="0"/>
          <w:numId w:val="3"/>
        </w:numPr>
        <w:ind w:left="357" w:hanging="357"/>
        <w:jc w:val="both"/>
      </w:pPr>
      <w:bookmarkStart w:id="6" w:name="clanek1od1"/>
      <w:r>
        <w:t>V souladu se zákony č. 129/2000 Sb., o krajích (krajské zřízení</w:t>
      </w:r>
      <w:r w:rsidR="0020654F">
        <w:t>), ve znění pozdějších předpisů</w:t>
      </w:r>
      <w:r>
        <w:t xml:space="preserve"> </w:t>
      </w:r>
      <w:r w:rsidR="0020654F">
        <w:br/>
      </w:r>
      <w:r>
        <w:t xml:space="preserve">a č. 250/2000 Sb., o rozpočtových pravidlech územních rozpočtů, ve znění </w:t>
      </w:r>
      <w:r w:rsidR="00BA10F7">
        <w:t>pozdějších předpisů (dále také „RPÚR“</w:t>
      </w:r>
      <w:r>
        <w:t xml:space="preserve">) a v souladu s Programem pro poskytování dotací z rozpočtu Karlovarského kraje </w:t>
      </w:r>
      <w:r w:rsidR="00A416EA" w:rsidRPr="00C45369">
        <w:rPr>
          <w:rFonts w:eastAsia="Arial Unicode MS"/>
          <w:lang w:eastAsia="cs-CZ"/>
        </w:rPr>
        <w:t>na podporu provozování domácí hospicové péče</w:t>
      </w:r>
      <w:r w:rsidR="002F548C">
        <w:t xml:space="preserve"> (dále jen „dotační program“</w:t>
      </w:r>
      <w:r>
        <w:t>) poskytovatel poskytuje příjemci dotaci na účel uvedený v článku II. smlouvy a příjemce tuto dotaci přijímá.</w:t>
      </w:r>
      <w:bookmarkStart w:id="7" w:name="mezPredClan2"/>
      <w:bookmarkEnd w:id="6"/>
      <w:bookmarkEnd w:id="7"/>
    </w:p>
    <w:p w14:paraId="568ED2CB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039AC8C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4E3F7674" w14:textId="63CC2C47" w:rsidR="00184FED" w:rsidRPr="00C55358" w:rsidRDefault="00184FED" w:rsidP="00C55358">
      <w:pPr>
        <w:pStyle w:val="Normlnweb"/>
        <w:numPr>
          <w:ilvl w:val="0"/>
          <w:numId w:val="4"/>
        </w:numPr>
        <w:spacing w:after="200"/>
        <w:ind w:left="425" w:hanging="425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</w:t>
      </w:r>
      <w:r w:rsidRPr="0096502F">
        <w:rPr>
          <w:sz w:val="22"/>
          <w:szCs w:val="22"/>
        </w:rPr>
        <w:lastRenderedPageBreak/>
        <w:t>s ohledem na maximální přípustnou výši podpory v režimu de minimis a to dle aktuálního stavu v registru podpor de minimis v den podpisu smlouvy.</w:t>
      </w:r>
    </w:p>
    <w:p w14:paraId="73B01B07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4609C20B" w14:textId="77777777"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t>202</w:t>
      </w:r>
      <w:r w:rsidR="0008759A">
        <w:rPr>
          <w:sz w:val="22"/>
          <w:szCs w:val="22"/>
        </w:rPr>
        <w:t>2</w:t>
      </w:r>
    </w:p>
    <w:p w14:paraId="7F660C6A" w14:textId="77777777"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8759A" w:rsidRPr="0008759A">
        <w:rPr>
          <w:sz w:val="22"/>
          <w:szCs w:val="22"/>
          <w:highlight w:val="yellow"/>
        </w:rPr>
        <w:t>……………</w:t>
      </w:r>
      <w:r w:rsidRPr="0008759A">
        <w:rPr>
          <w:sz w:val="22"/>
          <w:szCs w:val="22"/>
          <w:highlight w:val="yellow"/>
        </w:rPr>
        <w:t>Kč</w:t>
      </w:r>
    </w:p>
    <w:p w14:paraId="08F73858" w14:textId="77777777" w:rsidR="00184FED" w:rsidRPr="00154A88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154A88">
        <w:rPr>
          <w:sz w:val="22"/>
          <w:szCs w:val="22"/>
        </w:rPr>
        <w:t>(</w:t>
      </w:r>
      <w:r w:rsidR="008955F3" w:rsidRPr="00154A88">
        <w:rPr>
          <w:sz w:val="22"/>
          <w:szCs w:val="22"/>
        </w:rPr>
        <w:t>s</w:t>
      </w:r>
      <w:r w:rsidRPr="00154A88">
        <w:rPr>
          <w:sz w:val="22"/>
          <w:szCs w:val="22"/>
        </w:rPr>
        <w:t xml:space="preserve">lovy: </w:t>
      </w:r>
      <w:r w:rsidR="0008759A" w:rsidRPr="0008759A">
        <w:rPr>
          <w:sz w:val="22"/>
          <w:szCs w:val="22"/>
          <w:highlight w:val="yellow"/>
        </w:rPr>
        <w:t>………………</w:t>
      </w:r>
      <w:r w:rsidR="0008759A">
        <w:rPr>
          <w:sz w:val="22"/>
          <w:szCs w:val="22"/>
        </w:rPr>
        <w:t xml:space="preserve"> korun českých</w:t>
      </w:r>
      <w:r w:rsidRPr="00154A88">
        <w:rPr>
          <w:sz w:val="22"/>
          <w:szCs w:val="22"/>
        </w:rPr>
        <w:t>)</w:t>
      </w:r>
    </w:p>
    <w:p w14:paraId="0F3948EF" w14:textId="77777777"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54A88">
        <w:rPr>
          <w:sz w:val="22"/>
          <w:szCs w:val="22"/>
        </w:rPr>
        <w:t>Dotace se poskytuje na účel:</w:t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="0008759A" w:rsidRPr="0008759A">
        <w:rPr>
          <w:sz w:val="22"/>
          <w:szCs w:val="22"/>
          <w:highlight w:val="yellow"/>
        </w:rPr>
        <w:t>účel</w:t>
      </w:r>
    </w:p>
    <w:p w14:paraId="015AD954" w14:textId="34CC3225" w:rsidR="0092381C" w:rsidRDefault="00184FED" w:rsidP="00C55358">
      <w:pPr>
        <w:pStyle w:val="Normlnweb"/>
        <w:ind w:left="426"/>
        <w:jc w:val="both"/>
        <w:rPr>
          <w:sz w:val="22"/>
          <w:szCs w:val="22"/>
        </w:rPr>
      </w:pPr>
      <w:r w:rsidRPr="00154A88">
        <w:rPr>
          <w:sz w:val="22"/>
          <w:szCs w:val="22"/>
        </w:rPr>
        <w:t>Platba dotace bude opatřena variabilním symbolem:</w:t>
      </w:r>
      <w:r w:rsidRPr="00154A88">
        <w:rPr>
          <w:sz w:val="22"/>
          <w:szCs w:val="22"/>
        </w:rPr>
        <w:tab/>
      </w:r>
      <w:r w:rsidR="0008759A" w:rsidRPr="0008759A">
        <w:rPr>
          <w:sz w:val="22"/>
          <w:szCs w:val="22"/>
          <w:highlight w:val="yellow"/>
        </w:rPr>
        <w:t>variabilní symbol</w:t>
      </w:r>
    </w:p>
    <w:p w14:paraId="18AC7A3A" w14:textId="77777777" w:rsidR="00C55358" w:rsidRPr="00C55358" w:rsidRDefault="00C55358" w:rsidP="00C55358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15502331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6D879DAE" w14:textId="2EFB9348" w:rsidR="0092381C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6B90E1B" w14:textId="77777777" w:rsidR="00184FED" w:rsidRDefault="003A2F90" w:rsidP="00C55358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045ED8E3" w14:textId="77777777" w:rsidR="00184FED" w:rsidRDefault="003A2F90" w:rsidP="00C55358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14:paraId="45B31CFC" w14:textId="77777777" w:rsidR="0092381C" w:rsidRDefault="0092381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36BC2F2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3D593002" w14:textId="6AF1F93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1939119" w14:textId="77777777" w:rsidR="00FD7A58" w:rsidRDefault="00FD7A58" w:rsidP="00FD7A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9" w:name="mezPredClan5"/>
      <w:bookmarkEnd w:id="9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</w:t>
      </w:r>
      <w:r w:rsidR="008F2BA1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</w:t>
      </w:r>
      <w:r w:rsidR="008F2BA1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do 31. 12. 202</w:t>
      </w:r>
      <w:r w:rsidR="008F2BA1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a musí být uhrazeny nejpozději do 31. 12. 202</w:t>
      </w:r>
      <w:r w:rsidR="008F2BA1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14:paraId="353233CA" w14:textId="77777777" w:rsidR="00FD7A58" w:rsidRDefault="00FD7A58" w:rsidP="00FD7A58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61F99FB4" w14:textId="77777777" w:rsidR="00FD7A58" w:rsidRPr="00532191" w:rsidRDefault="00FD7A58" w:rsidP="00FD7A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</w:t>
      </w:r>
      <w:r w:rsidR="00532191">
        <w:rPr>
          <w:rFonts w:eastAsia="Arial Unicode MS"/>
          <w:lang w:eastAsia="cs-CZ"/>
        </w:rPr>
        <w:t>je poskytnutou dotaci použít na:</w:t>
      </w:r>
    </w:p>
    <w:p w14:paraId="407095A1" w14:textId="77777777" w:rsidR="00532191" w:rsidRDefault="00532191" w:rsidP="00532191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14:paraId="3A292824" w14:textId="77777777" w:rsidR="00532191" w:rsidRPr="002C3E44" w:rsidRDefault="00532191" w:rsidP="00532191">
      <w:pPr>
        <w:pStyle w:val="Odstavecseseznamem"/>
        <w:numPr>
          <w:ilvl w:val="1"/>
          <w:numId w:val="17"/>
        </w:numPr>
        <w:spacing w:after="0" w:line="240" w:lineRule="auto"/>
        <w:ind w:left="1080"/>
        <w:jc w:val="both"/>
        <w:rPr>
          <w:rFonts w:eastAsia="Arial Unicode MS"/>
          <w:lang w:eastAsia="cs-CZ"/>
        </w:rPr>
      </w:pPr>
      <w:r w:rsidRPr="002C3E44">
        <w:rPr>
          <w:rFonts w:eastAsia="Arial Unicode MS"/>
          <w:lang w:eastAsia="cs-CZ"/>
        </w:rPr>
        <w:t>provozní náklady nezbytné pro poskytování činnosti, které jsou identifikovatelné, účelně evidované, ověřitelné a podložené originálními dokumenty</w:t>
      </w:r>
    </w:p>
    <w:p w14:paraId="57F5C112" w14:textId="77777777" w:rsidR="00532191" w:rsidRPr="002C3E44" w:rsidRDefault="00532191" w:rsidP="00532191">
      <w:pPr>
        <w:pStyle w:val="Odstavecseseznamem"/>
        <w:numPr>
          <w:ilvl w:val="1"/>
          <w:numId w:val="17"/>
        </w:numPr>
        <w:spacing w:after="0" w:line="240" w:lineRule="auto"/>
        <w:ind w:left="1080"/>
        <w:jc w:val="both"/>
        <w:rPr>
          <w:rFonts w:eastAsia="Arial Unicode MS"/>
          <w:lang w:eastAsia="cs-CZ"/>
        </w:rPr>
      </w:pPr>
      <w:r w:rsidRPr="002C3E44">
        <w:rPr>
          <w:rFonts w:eastAsia="Arial Unicode MS"/>
          <w:lang w:eastAsia="cs-CZ"/>
        </w:rPr>
        <w:t>mzdové náklady (včetně odvodů sociálního a zdravotního pojištění, které hradí zaměstnavatel za své zaměstnance), které jsou odměnou za realizaci podpořené činnosti, zaměstnancům a osobám činným na základě dohod o pracích konaných mimo pracovní poměr, se kterými se uzavře pro tento případ a v zájmu prokazatelnosti smlouva v rámci pracovně právního vztahu podle zákona č. 262/2006 Sb., zákoník práce, ve znění pozdějších předpisů.</w:t>
      </w:r>
    </w:p>
    <w:p w14:paraId="09FCC122" w14:textId="77777777" w:rsidR="00532191" w:rsidRPr="001A4BA3" w:rsidRDefault="00532191" w:rsidP="00532191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4089F6EA" w14:textId="77777777" w:rsidR="00FD7A58" w:rsidRDefault="00FD7A58" w:rsidP="00FD7A58">
      <w:pPr>
        <w:spacing w:after="0" w:line="240" w:lineRule="auto"/>
        <w:ind w:left="426"/>
        <w:rPr>
          <w:rFonts w:eastAsia="Times New Roman"/>
          <w:bCs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14:paraId="07D24661" w14:textId="77777777" w:rsidR="00924D42" w:rsidRPr="0096502F" w:rsidRDefault="00924D42" w:rsidP="00FD7A58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8E2A2C6" w14:textId="77777777" w:rsidR="00924D42" w:rsidRPr="002C3E44" w:rsidRDefault="00924D42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 w:rsidRPr="002C3E44">
        <w:t>mzdové výdaje</w:t>
      </w:r>
    </w:p>
    <w:p w14:paraId="198B4DDD" w14:textId="77777777" w:rsidR="00924D42" w:rsidRPr="002C3E44" w:rsidRDefault="00924D42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 w:rsidRPr="002C3E44">
        <w:t>výdaje na dopravu</w:t>
      </w:r>
    </w:p>
    <w:p w14:paraId="1036D926" w14:textId="77777777" w:rsidR="00924D42" w:rsidRPr="002C3E44" w:rsidRDefault="00924D42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 w:rsidRPr="002C3E44">
        <w:t>výdaje spojené se zajištěním provozních prostor</w:t>
      </w:r>
    </w:p>
    <w:p w14:paraId="233553AF" w14:textId="77777777" w:rsidR="00924D42" w:rsidRPr="002C3E44" w:rsidRDefault="00924D42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 w:rsidRPr="002C3E44">
        <w:t>výdaje spojené se zdravotnickými úkony</w:t>
      </w:r>
    </w:p>
    <w:p w14:paraId="4FD821FC" w14:textId="77777777" w:rsidR="00924D42" w:rsidRDefault="00924D42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 w:rsidRPr="002C3E44">
        <w:t>výdaje spojené s půjčováním pomůcek</w:t>
      </w:r>
    </w:p>
    <w:p w14:paraId="319CB057" w14:textId="77777777" w:rsidR="008B7369" w:rsidRPr="002C3E44" w:rsidRDefault="008B7369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>
        <w:t>výdaje na nábor či stabilizaci zdravotnických pracovníků</w:t>
      </w:r>
    </w:p>
    <w:p w14:paraId="6325D3BE" w14:textId="77777777" w:rsidR="00924D42" w:rsidRDefault="00924D42" w:rsidP="000D5BD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 w:rsidRPr="002C3E44">
        <w:t>další provozní výdaje přímo související s realizací projektu</w:t>
      </w:r>
    </w:p>
    <w:p w14:paraId="50CA62F2" w14:textId="02B858CC" w:rsidR="00D460F5" w:rsidRDefault="00D460F5" w:rsidP="00532191">
      <w:pPr>
        <w:spacing w:after="0" w:line="240" w:lineRule="auto"/>
        <w:jc w:val="both"/>
      </w:pPr>
    </w:p>
    <w:p w14:paraId="7F42ADA2" w14:textId="77777777" w:rsidR="00532191" w:rsidRDefault="00F134D1" w:rsidP="0053219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je dále povinen:</w:t>
      </w:r>
    </w:p>
    <w:p w14:paraId="3C0C2A3F" w14:textId="1CF8C8FD" w:rsidR="00F134D1" w:rsidRPr="002C3E44" w:rsidRDefault="004C532F" w:rsidP="000D5BDC">
      <w:pPr>
        <w:pStyle w:val="Style10"/>
        <w:widowControl/>
        <w:numPr>
          <w:ilvl w:val="0"/>
          <w:numId w:val="22"/>
        </w:numPr>
        <w:tabs>
          <w:tab w:val="left" w:pos="1134"/>
        </w:tabs>
        <w:spacing w:before="264"/>
        <w:rPr>
          <w:rStyle w:val="FontStyle26"/>
          <w:sz w:val="22"/>
          <w:szCs w:val="22"/>
        </w:rPr>
      </w:pPr>
      <w:r>
        <w:rPr>
          <w:rFonts w:eastAsia="Arial Unicode MS"/>
          <w:sz w:val="22"/>
          <w:szCs w:val="22"/>
        </w:rPr>
        <w:t>z</w:t>
      </w:r>
      <w:r w:rsidR="00F134D1" w:rsidRPr="002C3E44">
        <w:rPr>
          <w:rFonts w:eastAsia="Arial Unicode MS"/>
          <w:sz w:val="22"/>
          <w:szCs w:val="22"/>
        </w:rPr>
        <w:t xml:space="preserve">abezpečovat domácí hospicovou </w:t>
      </w:r>
      <w:r w:rsidR="00F134D1" w:rsidRPr="002C3E44">
        <w:rPr>
          <w:rStyle w:val="FontStyle26"/>
          <w:sz w:val="22"/>
          <w:szCs w:val="22"/>
        </w:rPr>
        <w:t>péči prostřednictvím odborně připraveného multidisciplinárního týmu a za splnění podmínek daných vyhláškou č. 99/2012 Sb.</w:t>
      </w:r>
      <w:r w:rsidR="0097749A">
        <w:rPr>
          <w:rStyle w:val="FontStyle26"/>
          <w:sz w:val="22"/>
          <w:szCs w:val="22"/>
        </w:rPr>
        <w:t>,</w:t>
      </w:r>
      <w:r w:rsidR="00F134D1" w:rsidRPr="002C3E44">
        <w:rPr>
          <w:rStyle w:val="FontStyle26"/>
          <w:sz w:val="22"/>
          <w:szCs w:val="22"/>
        </w:rPr>
        <w:t xml:space="preserve"> </w:t>
      </w:r>
      <w:r w:rsidR="00F134D1">
        <w:rPr>
          <w:rStyle w:val="FontStyle26"/>
          <w:sz w:val="22"/>
          <w:szCs w:val="22"/>
        </w:rPr>
        <w:br/>
      </w:r>
      <w:r w:rsidR="00F134D1" w:rsidRPr="002C3E44">
        <w:rPr>
          <w:rStyle w:val="FontStyle26"/>
          <w:sz w:val="22"/>
          <w:szCs w:val="22"/>
        </w:rPr>
        <w:t>o požadavcích na minimální personální zabezpečení zdravotních služeb</w:t>
      </w:r>
      <w:r w:rsidR="0097749A">
        <w:rPr>
          <w:rStyle w:val="FontStyle26"/>
          <w:sz w:val="22"/>
          <w:szCs w:val="22"/>
        </w:rPr>
        <w:t>, ve znění pozdějších předpisů,</w:t>
      </w:r>
      <w:r w:rsidR="00F134D1" w:rsidRPr="002C3E44">
        <w:rPr>
          <w:rStyle w:val="FontStyle26"/>
          <w:sz w:val="22"/>
          <w:szCs w:val="22"/>
        </w:rPr>
        <w:t xml:space="preserve"> </w:t>
      </w:r>
    </w:p>
    <w:p w14:paraId="39BD793F" w14:textId="77777777" w:rsidR="00F134D1" w:rsidRPr="002C3E44" w:rsidRDefault="004C532F" w:rsidP="000D5BDC">
      <w:pPr>
        <w:pStyle w:val="Style10"/>
        <w:widowControl/>
        <w:numPr>
          <w:ilvl w:val="0"/>
          <w:numId w:val="22"/>
        </w:numPr>
        <w:tabs>
          <w:tab w:val="left" w:pos="1134"/>
        </w:tabs>
        <w:spacing w:before="264"/>
        <w:rPr>
          <w:rStyle w:val="FontStyle26"/>
          <w:sz w:val="22"/>
          <w:szCs w:val="22"/>
        </w:rPr>
      </w:pPr>
      <w:r>
        <w:rPr>
          <w:rStyle w:val="FontStyle26"/>
          <w:sz w:val="22"/>
          <w:szCs w:val="22"/>
        </w:rPr>
        <w:lastRenderedPageBreak/>
        <w:t>zabezpečovat</w:t>
      </w:r>
      <w:r w:rsidR="00F134D1" w:rsidRPr="002C3E44">
        <w:rPr>
          <w:rStyle w:val="FontStyle26"/>
          <w:sz w:val="22"/>
          <w:szCs w:val="22"/>
        </w:rPr>
        <w:t xml:space="preserve"> hospicovou péči v domácnostech uživatelů v časovém rozsahu 24 hodin denně, 7 dní v týdnu na území Karlovarského kraje</w:t>
      </w:r>
      <w:r w:rsidR="0097749A">
        <w:rPr>
          <w:rStyle w:val="FontStyle26"/>
          <w:sz w:val="22"/>
          <w:szCs w:val="22"/>
        </w:rPr>
        <w:t>.</w:t>
      </w:r>
    </w:p>
    <w:p w14:paraId="3DCFD157" w14:textId="031E0162" w:rsidR="00532191" w:rsidRDefault="00532191" w:rsidP="00532191">
      <w:pPr>
        <w:spacing w:after="0" w:line="240" w:lineRule="auto"/>
        <w:jc w:val="both"/>
      </w:pPr>
    </w:p>
    <w:p w14:paraId="689ED683" w14:textId="77777777"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30984C9D" w14:textId="77777777"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5DBFE186" w14:textId="77777777"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53BBE41" w14:textId="77777777" w:rsidR="00184FED" w:rsidRPr="00787CF3" w:rsidRDefault="003A2F90" w:rsidP="00FD1FA6">
      <w:pPr>
        <w:pStyle w:val="Odstavecseseznamem"/>
        <w:numPr>
          <w:ilvl w:val="0"/>
          <w:numId w:val="9"/>
        </w:numPr>
        <w:ind w:left="426" w:hanging="426"/>
        <w:jc w:val="both"/>
        <w:rPr>
          <w:iCs/>
          <w:snapToGrid w:val="0"/>
        </w:rPr>
      </w:pPr>
      <w:bookmarkStart w:id="10" w:name="clanek5od1"/>
      <w:r>
        <w:t xml:space="preserve">Příjemce je povinen řídit se </w:t>
      </w:r>
      <w:r w:rsidR="007357D0">
        <w:t>dotačním programem</w:t>
      </w:r>
      <w:r>
        <w:t xml:space="preserve"> uveden</w:t>
      </w:r>
      <w:r w:rsidR="007357D0">
        <w:t>ým</w:t>
      </w:r>
      <w:r>
        <w:t xml:space="preserve"> v čl. I.</w:t>
      </w:r>
      <w:r w:rsidR="002701B4">
        <w:t xml:space="preserve"> odst. 1 </w:t>
      </w:r>
      <w:r>
        <w:t xml:space="preserve">schváleným </w:t>
      </w:r>
      <w:r w:rsidR="007357D0">
        <w:t>Zastupitelstvem</w:t>
      </w:r>
      <w:r w:rsidRPr="00857495">
        <w:t xml:space="preserve"> Karlovarského kraje usnesením </w:t>
      </w:r>
      <w:r w:rsidR="007357D0" w:rsidRPr="007357D0">
        <w:rPr>
          <w:iCs/>
          <w:snapToGrid w:val="0"/>
          <w:highlight w:val="yellow"/>
        </w:rPr>
        <w:t>Z</w:t>
      </w:r>
      <w:r w:rsidR="00787CF3" w:rsidRPr="007357D0">
        <w:rPr>
          <w:iCs/>
          <w:snapToGrid w:val="0"/>
          <w:highlight w:val="yellow"/>
        </w:rPr>
        <w:t xml:space="preserve">K </w:t>
      </w:r>
      <w:r w:rsidR="007357D0" w:rsidRPr="007357D0">
        <w:rPr>
          <w:iCs/>
          <w:snapToGrid w:val="0"/>
          <w:highlight w:val="yellow"/>
        </w:rPr>
        <w:t>xxx</w:t>
      </w:r>
      <w:r w:rsidR="00787CF3" w:rsidRPr="007357D0">
        <w:rPr>
          <w:iCs/>
          <w:snapToGrid w:val="0"/>
          <w:highlight w:val="yellow"/>
        </w:rPr>
        <w:t>/</w:t>
      </w:r>
      <w:r w:rsidR="007357D0" w:rsidRPr="007357D0">
        <w:rPr>
          <w:iCs/>
          <w:snapToGrid w:val="0"/>
          <w:highlight w:val="yellow"/>
        </w:rPr>
        <w:t>xx</w:t>
      </w:r>
      <w:r w:rsidR="00787CF3" w:rsidRPr="007357D0">
        <w:rPr>
          <w:iCs/>
          <w:snapToGrid w:val="0"/>
          <w:highlight w:val="yellow"/>
        </w:rPr>
        <w:t>/</w:t>
      </w:r>
      <w:r w:rsidR="007357D0" w:rsidRPr="007357D0">
        <w:rPr>
          <w:iCs/>
          <w:snapToGrid w:val="0"/>
          <w:highlight w:val="yellow"/>
        </w:rPr>
        <w:t>xx</w:t>
      </w:r>
      <w:r w:rsidR="00787CF3" w:rsidRPr="007357D0">
        <w:rPr>
          <w:iCs/>
          <w:snapToGrid w:val="0"/>
          <w:highlight w:val="yellow"/>
        </w:rPr>
        <w:t xml:space="preserve"> ze dne </w:t>
      </w:r>
      <w:r w:rsidR="007357D0" w:rsidRPr="007357D0">
        <w:rPr>
          <w:iCs/>
          <w:snapToGrid w:val="0"/>
          <w:highlight w:val="yellow"/>
        </w:rPr>
        <w:t>xx</w:t>
      </w:r>
      <w:r w:rsidR="00787CF3" w:rsidRPr="007357D0">
        <w:rPr>
          <w:iCs/>
          <w:snapToGrid w:val="0"/>
          <w:highlight w:val="yellow"/>
        </w:rPr>
        <w:t xml:space="preserve">. </w:t>
      </w:r>
      <w:r w:rsidR="007357D0" w:rsidRPr="007357D0">
        <w:rPr>
          <w:iCs/>
          <w:snapToGrid w:val="0"/>
          <w:highlight w:val="yellow"/>
        </w:rPr>
        <w:t>xx</w:t>
      </w:r>
      <w:r w:rsidR="00787CF3" w:rsidRPr="007357D0">
        <w:rPr>
          <w:iCs/>
          <w:snapToGrid w:val="0"/>
          <w:highlight w:val="yellow"/>
        </w:rPr>
        <w:t xml:space="preserve">. </w:t>
      </w:r>
      <w:r w:rsidR="007357D0" w:rsidRPr="007357D0">
        <w:rPr>
          <w:iCs/>
          <w:snapToGrid w:val="0"/>
          <w:highlight w:val="yellow"/>
        </w:rPr>
        <w:t>xxxx</w:t>
      </w:r>
      <w:r w:rsidR="00055513">
        <w:t>, zveřejněným</w:t>
      </w:r>
      <w:r>
        <w:t xml:space="preserve"> na úřední desce poskytovatele a touto smlouvou.</w:t>
      </w:r>
      <w:bookmarkEnd w:id="10"/>
    </w:p>
    <w:p w14:paraId="7FFE7EA7" w14:textId="77777777" w:rsidR="009922D2" w:rsidRDefault="009922D2" w:rsidP="009922D2">
      <w:pPr>
        <w:pStyle w:val="Odstavecseseznamem"/>
        <w:ind w:left="426"/>
      </w:pPr>
    </w:p>
    <w:p w14:paraId="614DD1F7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funkcionářů příjemce, poštovné a balné, penále, úroky z úvěrů, náhrady škod, pojistné, pokuty, úhrady dluhu apod</w:t>
      </w:r>
      <w:r>
        <w:t>.</w:t>
      </w:r>
    </w:p>
    <w:p w14:paraId="017CCFF8" w14:textId="77777777" w:rsidR="009922D2" w:rsidRDefault="009922D2" w:rsidP="009922D2">
      <w:pPr>
        <w:pStyle w:val="Odstavecseseznamem"/>
        <w:ind w:left="426"/>
        <w:jc w:val="both"/>
      </w:pPr>
    </w:p>
    <w:p w14:paraId="2C430B67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Je-li příjemce veřejným zadavatelem nebo splní příjemce definici zadavatele podle zákona </w:t>
      </w:r>
      <w:r w:rsidR="00F74094">
        <w:br/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14:paraId="23192BA3" w14:textId="77777777" w:rsidR="009922D2" w:rsidRDefault="009922D2" w:rsidP="009922D2">
      <w:pPr>
        <w:pStyle w:val="Odstavecseseznamem"/>
        <w:ind w:left="426"/>
        <w:jc w:val="both"/>
      </w:pPr>
    </w:p>
    <w:p w14:paraId="17ABDA8E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36EC3C9C" w14:textId="77777777" w:rsidR="00AC6637" w:rsidRDefault="00AC6637" w:rsidP="00AC6637">
      <w:pPr>
        <w:pStyle w:val="Odstavecseseznamem"/>
        <w:ind w:left="426"/>
        <w:jc w:val="both"/>
      </w:pPr>
    </w:p>
    <w:p w14:paraId="1FDE05A7" w14:textId="77777777"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F74094">
        <w:br/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238B92B7" w14:textId="77777777" w:rsidR="00CE4049" w:rsidRDefault="00CE4049" w:rsidP="00CE4049">
      <w:pPr>
        <w:pStyle w:val="Odstavecseseznamem"/>
        <w:ind w:left="426"/>
        <w:jc w:val="both"/>
      </w:pPr>
    </w:p>
    <w:p w14:paraId="3C882F0D" w14:textId="77777777"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administrujícímu odboru prostřednictvím podatelny poskytovatele závěrečné finanční vypořádání dotace </w:t>
      </w:r>
      <w:r w:rsidR="00F74094">
        <w:br/>
      </w:r>
      <w:r>
        <w:t>na předepsaném formuláři, které příjemce opatří svým podpisem, a to nejpozději do</w:t>
      </w:r>
      <w:r w:rsidR="00015264">
        <w:t xml:space="preserve"> 15. 2. 202</w:t>
      </w:r>
      <w:r w:rsidR="00DA569F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14:paraId="4F81E4E2" w14:textId="77777777" w:rsidR="00CE4049" w:rsidRDefault="00CE4049" w:rsidP="00CE4049">
      <w:pPr>
        <w:pStyle w:val="Odstavecseseznamem"/>
        <w:ind w:left="426"/>
        <w:jc w:val="both"/>
      </w:pPr>
    </w:p>
    <w:p w14:paraId="56D1C32C" w14:textId="4F137B38" w:rsidR="00CE4049" w:rsidRDefault="003A2F90" w:rsidP="00CE4049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 xml:space="preserve"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</w:t>
      </w:r>
      <w:r w:rsidR="00857495">
        <w:br/>
      </w:r>
      <w:r>
        <w:t>a za uznatelný výdaj.</w:t>
      </w:r>
      <w:bookmarkEnd w:id="12"/>
    </w:p>
    <w:p w14:paraId="34DF1E13" w14:textId="7EC0ADB1" w:rsidR="00BC5EAB" w:rsidRDefault="00BC5EAB" w:rsidP="00A70679">
      <w:pPr>
        <w:pStyle w:val="Odstavecseseznamem"/>
        <w:ind w:left="426"/>
        <w:jc w:val="both"/>
      </w:pPr>
    </w:p>
    <w:p w14:paraId="483957CF" w14:textId="77777777"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>Spolu s finančním vypořádáním dotace je příjemce povinen předložit administrujícímu odboru:</w:t>
      </w:r>
      <w:bookmarkEnd w:id="13"/>
    </w:p>
    <w:p w14:paraId="5AEA7E75" w14:textId="77777777" w:rsidR="003A2F90" w:rsidRDefault="003A2F90" w:rsidP="00A457FA">
      <w:pPr>
        <w:pStyle w:val="Odstavecseseznamem"/>
        <w:ind w:left="591"/>
        <w:jc w:val="both"/>
      </w:pPr>
      <w:bookmarkStart w:id="14" w:name="clanek5od8odr"/>
      <w:r>
        <w:lastRenderedPageBreak/>
        <w:t xml:space="preserve">a) </w:t>
      </w:r>
      <w:r w:rsidR="00E81C47">
        <w:t>závěrečnou zprávu (</w:t>
      </w:r>
      <w:r>
        <w:t>vyhodnocení použití poskytnuté dotace s popisem realizace a zhodnocením realizovaných aktivit</w:t>
      </w:r>
      <w:r w:rsidR="00E81C47">
        <w:t>)</w:t>
      </w:r>
      <w:r>
        <w:t>;</w:t>
      </w:r>
    </w:p>
    <w:p w14:paraId="71023BAC" w14:textId="77777777" w:rsidR="003A2F90" w:rsidRDefault="003A2F90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14:paraId="7DB82845" w14:textId="77777777" w:rsidR="003A2F90" w:rsidRDefault="003A2F90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14:paraId="1CEDE9C3" w14:textId="77777777" w:rsidR="00D27BEB" w:rsidRDefault="003A2F90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14:paraId="6E2D99B4" w14:textId="77777777" w:rsidR="00EB0871" w:rsidRDefault="00EB0871" w:rsidP="00D27BEB">
      <w:pPr>
        <w:pStyle w:val="Odstavecseseznamem"/>
        <w:ind w:left="426"/>
        <w:jc w:val="both"/>
      </w:pPr>
    </w:p>
    <w:p w14:paraId="666E939C" w14:textId="77777777"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3B21C660" w14:textId="77777777" w:rsidR="00D27BEB" w:rsidRDefault="00D27BEB" w:rsidP="00D27BEB">
      <w:pPr>
        <w:pStyle w:val="Odstavecseseznamem"/>
        <w:jc w:val="both"/>
      </w:pPr>
    </w:p>
    <w:p w14:paraId="19C430A3" w14:textId="77777777"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168A95F0" w14:textId="77777777" w:rsidR="00D27BEB" w:rsidRDefault="00D27BEB" w:rsidP="00D27BEB">
      <w:pPr>
        <w:pStyle w:val="Odstavecseseznamem"/>
        <w:ind w:left="426"/>
        <w:jc w:val="both"/>
      </w:pPr>
    </w:p>
    <w:p w14:paraId="65C2C931" w14:textId="51AF467E" w:rsidR="00D27BEB" w:rsidRDefault="00E651D1" w:rsidP="00A70679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 xml:space="preserve">Je-li příjemce plátcem daně z přidané hodnoty, a pokud má u zdanitelných plnění přijatých </w:t>
      </w:r>
      <w:r w:rsidR="00F74094">
        <w:br/>
      </w:r>
      <w:r w:rsidRPr="00E651D1">
        <w:t>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4C3037D9" w14:textId="77777777" w:rsidR="00A70679" w:rsidRDefault="00A70679" w:rsidP="00A70679">
      <w:pPr>
        <w:pStyle w:val="Odstavecseseznamem"/>
        <w:ind w:left="426"/>
        <w:jc w:val="both"/>
      </w:pPr>
    </w:p>
    <w:p w14:paraId="7CAD453F" w14:textId="77777777"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132A3066" w14:textId="70B5FF77" w:rsidR="00A4036C" w:rsidRPr="00A70679" w:rsidRDefault="00A4036C" w:rsidP="00A7067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548F6436" w14:textId="235091B4"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 xml:space="preserve">Nevyčerpané finanční prostředky dotace je příjemce povinen vrátit nejpozději do termínu předložení závěrečného finančního vypořádání dotace uvedeného v čl. V. odst. </w:t>
      </w:r>
      <w:r w:rsidR="008707FC">
        <w:t>6</w:t>
      </w:r>
      <w:r>
        <w:t>, a to formou bezhotovostního převodu na účet poskytovatele uvedený v záhlaví smlouvy. Platba bude opatřena variabilním symbolem uvedeným v čl. II.</w:t>
      </w:r>
      <w:r w:rsidR="00976FB6">
        <w:t xml:space="preserve"> odst. 2.</w:t>
      </w:r>
    </w:p>
    <w:p w14:paraId="1C045D70" w14:textId="77777777" w:rsidR="00A4036C" w:rsidRDefault="00A4036C" w:rsidP="00A4036C">
      <w:pPr>
        <w:pStyle w:val="Odstavecseseznamem"/>
        <w:ind w:left="426"/>
      </w:pPr>
    </w:p>
    <w:p w14:paraId="6E8141CA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</w:t>
      </w:r>
      <w:r w:rsidR="00F74094">
        <w:br/>
      </w:r>
      <w:r w:rsidRPr="00A4036C">
        <w:t>v čl. II</w:t>
      </w:r>
      <w:r>
        <w:t>.</w:t>
      </w:r>
      <w:r w:rsidR="00976FB6">
        <w:t xml:space="preserve"> </w:t>
      </w:r>
      <w:r w:rsidR="00976FB6" w:rsidRPr="00A4036C">
        <w:t>odst. 2</w:t>
      </w:r>
      <w:r w:rsidR="00976FB6">
        <w:t>.</w:t>
      </w:r>
    </w:p>
    <w:p w14:paraId="6FC5D3BF" w14:textId="77777777" w:rsidR="00A4036C" w:rsidRDefault="00A4036C" w:rsidP="00A4036C">
      <w:pPr>
        <w:pStyle w:val="Odstavecseseznamem"/>
        <w:ind w:left="426"/>
      </w:pPr>
    </w:p>
    <w:p w14:paraId="13593FD9" w14:textId="77777777" w:rsidR="00A4036C" w:rsidRDefault="00A4036C" w:rsidP="00154A88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14:paraId="61F32C3D" w14:textId="77777777" w:rsidR="00A4036C" w:rsidRDefault="00A4036C" w:rsidP="00154A88">
      <w:pPr>
        <w:pStyle w:val="Odstavecseseznamem"/>
        <w:ind w:left="426"/>
        <w:jc w:val="both"/>
      </w:pPr>
    </w:p>
    <w:p w14:paraId="48F51A25" w14:textId="77777777" w:rsidR="00A4036C" w:rsidRDefault="00A4036C" w:rsidP="00154A88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7DF8CC30" w14:textId="77777777" w:rsidR="00A4036C" w:rsidRDefault="00A4036C" w:rsidP="00A4036C">
      <w:pPr>
        <w:pStyle w:val="Odstavecseseznamem"/>
        <w:ind w:left="426"/>
      </w:pPr>
    </w:p>
    <w:p w14:paraId="3B2884BD" w14:textId="5C5CA4F1" w:rsidR="00A4036C" w:rsidRDefault="003A2F90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 xml:space="preserve">Příjemce je zejména povinen oznámit poskytovateli do 10 pracovních dnů ode dne, kdy došlo </w:t>
      </w:r>
      <w:r w:rsidR="00787CF3">
        <w:br/>
      </w:r>
      <w:r>
        <w:t xml:space="preserve">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</w:t>
      </w:r>
      <w:r w:rsidR="00787CF3">
        <w:br/>
      </w:r>
      <w:r>
        <w:t>se dotace poskytuje, apod.</w:t>
      </w:r>
      <w:bookmarkEnd w:id="15"/>
    </w:p>
    <w:p w14:paraId="6BAA59A6" w14:textId="25119920" w:rsidR="006233C7" w:rsidRPr="009C2738" w:rsidRDefault="003A2F90" w:rsidP="009C2738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lastRenderedPageBreak/>
        <w:t xml:space="preserve">V případě, že nastanou skutečnosti uvedené v předchozím odstavci, je příjemce povinen zajistit při přeměně právnické osoby nebo jejího zrušení, aby práva a povinnosti ze smlouvy přešly </w:t>
      </w:r>
      <w:r w:rsidR="00787CF3">
        <w:br/>
      </w:r>
      <w:r>
        <w:t>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14:paraId="013E14EB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51859B82" w14:textId="60919602" w:rsidR="00A4036C" w:rsidRPr="00A70679" w:rsidRDefault="00A4036C" w:rsidP="00A70679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0DAB9A67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</w:t>
      </w:r>
      <w:r w:rsidR="00787CF3">
        <w:br/>
      </w:r>
      <w:r w:rsidRPr="000351F0">
        <w:t xml:space="preserve">o finanční kontrole ve veřejné správě a o změně některých zákonů (zákon o finanční kontrole), </w:t>
      </w:r>
      <w:r w:rsidR="00787CF3">
        <w:br/>
      </w:r>
      <w:r w:rsidRPr="000351F0">
        <w:t xml:space="preserve">ve znění pozdějších předpisů, v souladu se zákonem č. 255/2012 Sb., o kontrole (kontrolní řád), </w:t>
      </w:r>
      <w:r w:rsidR="00787CF3">
        <w:br/>
      </w:r>
      <w:r w:rsidRPr="000351F0">
        <w:t>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0B4F2289" w14:textId="77777777" w:rsidR="000351F0" w:rsidRDefault="000351F0" w:rsidP="000351F0">
      <w:pPr>
        <w:pStyle w:val="Odstavecseseznamem"/>
        <w:ind w:left="426"/>
        <w:jc w:val="both"/>
      </w:pPr>
    </w:p>
    <w:p w14:paraId="75EC8F53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</w:t>
      </w:r>
      <w:r w:rsidR="00787CF3">
        <w:br/>
      </w:r>
      <w:r w:rsidRPr="000351F0">
        <w:t xml:space="preserve">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0F434DC7" w14:textId="77777777" w:rsidR="000351F0" w:rsidRDefault="000351F0" w:rsidP="000351F0">
      <w:pPr>
        <w:pStyle w:val="Odstavecseseznamem"/>
        <w:ind w:left="426"/>
        <w:jc w:val="both"/>
      </w:pPr>
    </w:p>
    <w:p w14:paraId="240B910E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6AC87DAE" w14:textId="77777777" w:rsidR="000351F0" w:rsidRDefault="000351F0" w:rsidP="000351F0">
      <w:pPr>
        <w:pStyle w:val="Odstavecseseznamem"/>
        <w:ind w:left="426"/>
        <w:jc w:val="both"/>
      </w:pPr>
    </w:p>
    <w:p w14:paraId="32283670" w14:textId="1E2F6C1B" w:rsidR="006233C7" w:rsidRPr="009C2738" w:rsidRDefault="000351F0" w:rsidP="009C2738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4BBD2C72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C12072C" w14:textId="68F1F102" w:rsidR="006D6502" w:rsidRPr="00A70679" w:rsidRDefault="006D6502" w:rsidP="00A70679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3AA9FFE5" w14:textId="3F76BA8A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 xml:space="preserve">odst. 3, 4, 5, 6, popř. poruší jinou povinnost nepeněžité povahy vyplývající </w:t>
      </w:r>
      <w:r w:rsidR="00787CF3">
        <w:br/>
      </w:r>
      <w:r w:rsidRPr="006D6502">
        <w:t>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26CAD706" w14:textId="77777777" w:rsidR="006D6502" w:rsidRDefault="006D6502" w:rsidP="006D6502">
      <w:pPr>
        <w:pStyle w:val="Odstavecseseznamem"/>
        <w:ind w:left="426"/>
        <w:jc w:val="both"/>
      </w:pPr>
    </w:p>
    <w:p w14:paraId="4EA7CB0F" w14:textId="1D85E158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 xml:space="preserve">V případě, že příjemce neprokáže způsobem stanoveným v čl. IV. odst. 2, </w:t>
      </w:r>
      <w:r w:rsidR="000D5BDC">
        <w:t xml:space="preserve">3, </w:t>
      </w:r>
      <w:r w:rsidRPr="006D6502">
        <w:t>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</w:t>
      </w:r>
      <w:r w:rsidR="00787CF3">
        <w:br/>
      </w:r>
      <w:r w:rsidRPr="006D6502">
        <w:t xml:space="preserve">za prostředky neoprávněně použité ve smyslu ustanovení § 22 RPÚR. Příjemce je v tomto případě </w:t>
      </w:r>
      <w:r w:rsidRPr="006D6502">
        <w:lastRenderedPageBreak/>
        <w:t xml:space="preserve">povinen provést v souladu s ustanovením § 22 RPÚR odvod za porušení rozpočtové kázně </w:t>
      </w:r>
      <w:r w:rsidR="00787CF3">
        <w:br/>
      </w:r>
      <w:r w:rsidRPr="006D6502">
        <w:t>do rozpočtu poskytovatele</w:t>
      </w:r>
      <w:r>
        <w:t>.</w:t>
      </w:r>
    </w:p>
    <w:p w14:paraId="1625DC0A" w14:textId="77777777" w:rsidR="00D33415" w:rsidRDefault="00D33415" w:rsidP="00D33415">
      <w:pPr>
        <w:pStyle w:val="Odstavecseseznamem"/>
        <w:ind w:left="426"/>
        <w:jc w:val="both"/>
      </w:pPr>
    </w:p>
    <w:p w14:paraId="45771A17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0530AF83" w14:textId="77777777" w:rsidR="00D33415" w:rsidRDefault="00D33415" w:rsidP="00D33415">
      <w:pPr>
        <w:pStyle w:val="Odstavecseseznamem"/>
        <w:ind w:left="426"/>
        <w:jc w:val="both"/>
      </w:pPr>
    </w:p>
    <w:p w14:paraId="58E9B98F" w14:textId="422DAE88" w:rsidR="00DA6BE5" w:rsidRDefault="00D33415" w:rsidP="009C2738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Veškeré platby v důsledku porušení povinností příjemce provede příjemce formou bezhotovostního převodu na účet poskytovatele uvedený v záhlaví smlouvy a opatří je variabilním symbolem </w:t>
      </w:r>
      <w:r w:rsidR="00787CF3">
        <w:br/>
      </w:r>
      <w:r w:rsidRPr="00D33415">
        <w:t>a písemně informuje poskytovatele o vrácení peněžních prostředků na jeho účet</w:t>
      </w:r>
      <w:r>
        <w:t>.</w:t>
      </w:r>
    </w:p>
    <w:p w14:paraId="6D8D6EC5" w14:textId="77777777" w:rsidR="00EA629D" w:rsidRPr="009C2738" w:rsidRDefault="00EA629D" w:rsidP="00EA629D">
      <w:pPr>
        <w:pStyle w:val="Odstavecseseznamem"/>
        <w:ind w:left="426"/>
        <w:jc w:val="both"/>
      </w:pPr>
    </w:p>
    <w:p w14:paraId="19809AD6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00D987A3" w14:textId="0ABD812D" w:rsidR="00D33415" w:rsidRPr="00A70679" w:rsidRDefault="00D33415" w:rsidP="00A70679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34351D01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74A69052" w14:textId="77777777" w:rsidR="00D33415" w:rsidRDefault="00D33415" w:rsidP="00D33415">
      <w:pPr>
        <w:pStyle w:val="Odstavecseseznamem"/>
        <w:ind w:left="426"/>
        <w:jc w:val="both"/>
      </w:pPr>
    </w:p>
    <w:p w14:paraId="34FB80C7" w14:textId="7D933C3E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147B13E2" w14:textId="77777777" w:rsidR="00A70679" w:rsidRDefault="00A70679" w:rsidP="00A70679">
      <w:pPr>
        <w:pStyle w:val="Odstavecseseznamem"/>
        <w:ind w:left="426"/>
        <w:jc w:val="both"/>
      </w:pPr>
    </w:p>
    <w:p w14:paraId="17091AE7" w14:textId="6FCE62F7" w:rsidR="00F74094" w:rsidRPr="009C2738" w:rsidRDefault="003A2F90" w:rsidP="009C2738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 xml:space="preserve">V případě ukončení smlouvy dle výše uvedených odstavců tohoto článku, je příjemce povinen provést finanční vypořádání poskytnuté dotace obdobně podle odst. </w:t>
      </w:r>
      <w:r w:rsidR="00A7319F">
        <w:t>6</w:t>
      </w:r>
      <w:r>
        <w:t xml:space="preserve"> článku V. smlouvy, a to ke dni ukončení smlouvy.</w:t>
      </w:r>
      <w:bookmarkStart w:id="19" w:name="mezPredClan10"/>
      <w:bookmarkEnd w:id="18"/>
      <w:bookmarkEnd w:id="19"/>
    </w:p>
    <w:p w14:paraId="5359E02A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39F999B4" w14:textId="77777777" w:rsidR="00206D8F" w:rsidRDefault="00206D8F" w:rsidP="00A70679">
      <w:pPr>
        <w:spacing w:after="0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78A5E31" w14:textId="77777777" w:rsidR="00206D8F" w:rsidRDefault="003A2F90" w:rsidP="00A70679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 xml:space="preserve">Příjemce bere na vědomí, že je mu poskytována podpora de minimis (podpora malého rozsahu), </w:t>
      </w:r>
      <w:r w:rsidR="00787CF3">
        <w:br/>
      </w:r>
      <w:r>
        <w:t>a to v souladu s Nařízením Komise (ES) č. 1407/2013 ze dne 18. prosince 2013 o použití článků 107 a 108 Smlouvy o fungování Evropské unie na podporu de minimis, publikovaném v Úředním věstníku L č.352/2013 na straně 1 (dále jen "Nařízení komise").</w:t>
      </w:r>
      <w:bookmarkEnd w:id="20"/>
    </w:p>
    <w:p w14:paraId="524C426F" w14:textId="77777777" w:rsidR="00206D8F" w:rsidRDefault="003A2F90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Příjemce podpory prohlašuje, že v souladu s článkem 3 tohoto Nařízení komise, obdržel </w:t>
      </w:r>
      <w:r w:rsidR="00787CF3">
        <w:br/>
      </w:r>
      <w:r>
        <w:t>v předchozích 3 fiskálních letech od data účinnosti této smlouvy podporu de minimis a celková výše podpory de minimis, kterou tak s poskytovanou dotací přijme, nepřesáhne 200.000 EUR.</w:t>
      </w:r>
    </w:p>
    <w:p w14:paraId="529D84D9" w14:textId="77777777" w:rsidR="007B68D2" w:rsidRDefault="007B68D2" w:rsidP="007B68D2">
      <w:pPr>
        <w:pStyle w:val="Odstavecseseznamem"/>
        <w:ind w:left="426"/>
        <w:jc w:val="both"/>
      </w:pPr>
    </w:p>
    <w:p w14:paraId="7FFE6194" w14:textId="77777777" w:rsidR="007B68D2" w:rsidRDefault="003A2F90" w:rsidP="007B68D2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Kurz pro přepočet částky do CZK je stanovený Evropskou centrální bankou zveřejňovaný </w:t>
      </w:r>
      <w:r w:rsidR="00787CF3">
        <w:br/>
      </w:r>
      <w:r>
        <w:t>na webových stránkách ECB ke dni podpisu smlouvy.</w:t>
      </w:r>
    </w:p>
    <w:p w14:paraId="5CF2686B" w14:textId="77777777" w:rsidR="007B68D2" w:rsidRDefault="007B68D2" w:rsidP="007B68D2">
      <w:pPr>
        <w:pStyle w:val="Odstavecseseznamem"/>
      </w:pPr>
    </w:p>
    <w:p w14:paraId="4AD4712E" w14:textId="78D7A44C" w:rsidR="00DA6BE5" w:rsidRDefault="003A2F90" w:rsidP="009C2738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Start w:id="22" w:name="mezPredClan11"/>
      <w:bookmarkEnd w:id="21"/>
      <w:bookmarkEnd w:id="22"/>
    </w:p>
    <w:p w14:paraId="03C6FB43" w14:textId="4B6367D5" w:rsidR="00EA629D" w:rsidRDefault="00EA629D" w:rsidP="00EA629D">
      <w:pPr>
        <w:pStyle w:val="Odstavecseseznamem"/>
        <w:ind w:left="426"/>
        <w:jc w:val="both"/>
      </w:pPr>
    </w:p>
    <w:p w14:paraId="3F933DA1" w14:textId="77777777" w:rsidR="00EA629D" w:rsidRPr="009C2738" w:rsidRDefault="00EA629D" w:rsidP="00EA629D">
      <w:pPr>
        <w:pStyle w:val="Odstavecseseznamem"/>
        <w:ind w:left="426"/>
        <w:jc w:val="both"/>
      </w:pPr>
    </w:p>
    <w:p w14:paraId="5306D571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5F31127" w14:textId="38F03301" w:rsidR="005D62D5" w:rsidRPr="00A70679" w:rsidRDefault="005D62D5" w:rsidP="00A7067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58E5B81E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7FD54484" w14:textId="77777777" w:rsidR="005D62D5" w:rsidRDefault="005D62D5" w:rsidP="005D62D5">
      <w:pPr>
        <w:pStyle w:val="Odstavecseseznamem"/>
        <w:ind w:left="426"/>
        <w:jc w:val="both"/>
      </w:pPr>
    </w:p>
    <w:p w14:paraId="33B27231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Pokud smlouva či zvláštní obecně závazný předpis nestanoví jinak, řídí se vztahy dle smlouvy příslušnými ustanoveními zákonů č. 500/2004 Sb., správní řád, ve znění pozdějších předpisů </w:t>
      </w:r>
      <w:r w:rsidR="00787CF3">
        <w:br/>
      </w:r>
      <w:r w:rsidRPr="005D62D5">
        <w:t>a č. 89/2012 Sb., občanský zákoník, ve znění pozdějších předpisů</w:t>
      </w:r>
      <w:r>
        <w:t>.</w:t>
      </w:r>
    </w:p>
    <w:p w14:paraId="5FD38D8D" w14:textId="77777777" w:rsidR="005D62D5" w:rsidRDefault="005D62D5" w:rsidP="005D62D5">
      <w:pPr>
        <w:pStyle w:val="Odstavecseseznamem"/>
        <w:ind w:left="426"/>
        <w:jc w:val="both"/>
      </w:pPr>
    </w:p>
    <w:p w14:paraId="51EA4C90" w14:textId="77777777" w:rsidR="005D62D5" w:rsidRDefault="003A2F90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14:paraId="24881132" w14:textId="77777777" w:rsidR="005D62D5" w:rsidRDefault="005D62D5" w:rsidP="005D62D5">
      <w:pPr>
        <w:pStyle w:val="Odstavecseseznamem"/>
        <w:ind w:left="426"/>
        <w:jc w:val="both"/>
      </w:pPr>
    </w:p>
    <w:p w14:paraId="13087FB0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</w:t>
      </w:r>
      <w:r w:rsidR="00787CF3">
        <w:br/>
      </w:r>
      <w:r w:rsidRPr="005D62D5">
        <w:t>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48173238" w14:textId="77777777" w:rsidR="005D62D5" w:rsidRDefault="005D62D5" w:rsidP="005D62D5">
      <w:pPr>
        <w:pStyle w:val="Odstavecseseznamem"/>
        <w:ind w:left="426"/>
        <w:jc w:val="both"/>
      </w:pPr>
    </w:p>
    <w:p w14:paraId="79D09050" w14:textId="44962617" w:rsidR="00DA6BE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513D4493" w14:textId="77777777" w:rsidR="00DA6BE5" w:rsidRDefault="00DA6BE5" w:rsidP="005D62D5">
      <w:pPr>
        <w:pStyle w:val="Odstavecseseznamem"/>
        <w:ind w:left="426"/>
        <w:jc w:val="both"/>
      </w:pPr>
    </w:p>
    <w:p w14:paraId="367C8A74" w14:textId="77777777" w:rsidR="005D62D5" w:rsidRDefault="003A2F90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rozhodlo v souladu s ustanovením § 36 písm. c)</w:t>
      </w:r>
      <w:r w:rsidR="00C564A5">
        <w:t>,</w:t>
      </w:r>
      <w:r>
        <w:t xml:space="preserve"> příp. d) zákona č. 129/2000 Sb., o krajích (krajské zřízení), ve znění pozdějších předpisů, Zastupitelstvo Karlovarského kraje usnesením č. </w:t>
      </w:r>
      <w:r w:rsidR="00691FC1" w:rsidRPr="003C5774">
        <w:rPr>
          <w:highlight w:val="yellow"/>
        </w:rPr>
        <w:t xml:space="preserve">ZK </w:t>
      </w:r>
      <w:r w:rsidR="003C5774" w:rsidRPr="003C5774">
        <w:rPr>
          <w:highlight w:val="yellow"/>
        </w:rPr>
        <w:t>xxx</w:t>
      </w:r>
      <w:r w:rsidR="00691FC1" w:rsidRPr="003C5774">
        <w:rPr>
          <w:highlight w:val="yellow"/>
        </w:rPr>
        <w:t>/</w:t>
      </w:r>
      <w:r w:rsidR="003C5774" w:rsidRPr="003C5774">
        <w:rPr>
          <w:highlight w:val="yellow"/>
        </w:rPr>
        <w:t>xx</w:t>
      </w:r>
      <w:r w:rsidR="00691FC1" w:rsidRPr="003C5774">
        <w:rPr>
          <w:highlight w:val="yellow"/>
        </w:rPr>
        <w:t>/</w:t>
      </w:r>
      <w:r w:rsidR="003C5774" w:rsidRPr="003C5774">
        <w:rPr>
          <w:highlight w:val="yellow"/>
        </w:rPr>
        <w:t>xx</w:t>
      </w:r>
      <w:r w:rsidRPr="003C5774">
        <w:rPr>
          <w:highlight w:val="yellow"/>
        </w:rPr>
        <w:t xml:space="preserve"> ze dne </w:t>
      </w:r>
      <w:r w:rsidR="003C5774" w:rsidRPr="003C5774">
        <w:rPr>
          <w:highlight w:val="yellow"/>
        </w:rPr>
        <w:t>xx</w:t>
      </w:r>
      <w:r w:rsidR="00691FC1" w:rsidRPr="003C5774">
        <w:rPr>
          <w:highlight w:val="yellow"/>
        </w:rPr>
        <w:t>.</w:t>
      </w:r>
      <w:r w:rsidR="003C5774" w:rsidRPr="003C5774">
        <w:rPr>
          <w:highlight w:val="yellow"/>
        </w:rPr>
        <w:t>xx.xxxx</w:t>
      </w:r>
      <w:r w:rsidRPr="003C5774">
        <w:rPr>
          <w:highlight w:val="yellow"/>
        </w:rPr>
        <w:t>.</w:t>
      </w:r>
      <w:bookmarkEnd w:id="24"/>
    </w:p>
    <w:p w14:paraId="62D84FD1" w14:textId="77777777" w:rsidR="00CE4049" w:rsidRDefault="00CE4049" w:rsidP="00CE4049">
      <w:pPr>
        <w:pStyle w:val="Odstavecseseznamem"/>
        <w:ind w:left="426"/>
        <w:jc w:val="both"/>
      </w:pPr>
    </w:p>
    <w:p w14:paraId="1F7AF04D" w14:textId="77777777" w:rsidR="00F74094" w:rsidRDefault="00F74094" w:rsidP="00CE4049">
      <w:pPr>
        <w:pStyle w:val="Odstavecseseznamem"/>
        <w:ind w:left="426"/>
        <w:jc w:val="both"/>
      </w:pPr>
    </w:p>
    <w:p w14:paraId="4A61789D" w14:textId="77777777" w:rsidR="00C36930" w:rsidRDefault="00C36930" w:rsidP="00CE4049">
      <w:pPr>
        <w:pStyle w:val="Odstavecseseznamem"/>
        <w:ind w:left="426"/>
        <w:jc w:val="both"/>
      </w:pPr>
    </w:p>
    <w:p w14:paraId="185CF32F" w14:textId="77777777" w:rsidR="00C36930" w:rsidRDefault="00C36930" w:rsidP="00C36930">
      <w:pPr>
        <w:pStyle w:val="Odstavecseseznamem"/>
        <w:ind w:left="426"/>
        <w:jc w:val="both"/>
      </w:pPr>
      <w:r>
        <w:t>Karlovy Vary dne</w:t>
      </w:r>
      <w:r w:rsidR="00154A88">
        <w:t xml:space="preserve"> ………. </w:t>
      </w:r>
      <w:r w:rsidR="00154A88">
        <w:tab/>
      </w:r>
      <w:r w:rsidR="00154A88">
        <w:tab/>
      </w:r>
      <w:r w:rsidR="00154A88">
        <w:tab/>
      </w:r>
      <w:r w:rsidR="00691FC1">
        <w:t>Karlovy Vary</w:t>
      </w:r>
      <w:r w:rsidR="00154A88">
        <w:t xml:space="preserve"> dne ……</w:t>
      </w:r>
      <w:r w:rsidR="0095524A">
        <w:t>.</w:t>
      </w:r>
      <w:r w:rsidR="00154A88">
        <w:t>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0EA04E0" w14:textId="77777777" w:rsidR="00C36930" w:rsidRDefault="00C36930" w:rsidP="00C36930">
      <w:pPr>
        <w:pStyle w:val="Odstavecseseznamem"/>
        <w:ind w:left="426"/>
        <w:jc w:val="both"/>
      </w:pPr>
    </w:p>
    <w:p w14:paraId="6CC9E50E" w14:textId="77777777" w:rsidR="00C36930" w:rsidRDefault="00C36930" w:rsidP="00C36930">
      <w:pPr>
        <w:pStyle w:val="Odstavecseseznamem"/>
        <w:ind w:left="426"/>
        <w:jc w:val="both"/>
      </w:pPr>
      <w:r>
        <w:t>……………</w:t>
      </w:r>
      <w:r w:rsidR="0095524A">
        <w:t>……….</w:t>
      </w:r>
      <w:r>
        <w:t>………..</w:t>
      </w:r>
      <w:r>
        <w:tab/>
      </w:r>
      <w:r>
        <w:tab/>
      </w:r>
      <w:r w:rsidR="003C5774">
        <w:t xml:space="preserve">              ………….</w:t>
      </w:r>
      <w:r>
        <w:t>……………………..</w:t>
      </w:r>
    </w:p>
    <w:p w14:paraId="18654891" w14:textId="77777777" w:rsidR="00C36930" w:rsidRPr="00C36930" w:rsidRDefault="0095524A" w:rsidP="00C36930">
      <w:pPr>
        <w:pStyle w:val="Odstavecseseznamem"/>
        <w:ind w:left="426"/>
        <w:jc w:val="both"/>
      </w:pPr>
      <w:r>
        <w:t xml:space="preserve">       </w:t>
      </w:r>
      <w:r w:rsidR="005473F0" w:rsidRPr="005473F0">
        <w:t>Ing. Petr Kulhánek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154A88">
        <w:rPr>
          <w:sz w:val="18"/>
          <w:szCs w:val="18"/>
        </w:rPr>
        <w:tab/>
      </w:r>
      <w:r w:rsidR="00154A88">
        <w:rPr>
          <w:sz w:val="18"/>
          <w:szCs w:val="18"/>
        </w:rPr>
        <w:tab/>
      </w:r>
    </w:p>
    <w:p w14:paraId="009DAD89" w14:textId="77777777" w:rsidR="0095524A" w:rsidRDefault="00C36930" w:rsidP="00C36930">
      <w:pPr>
        <w:pStyle w:val="Odstavecseseznamem"/>
        <w:ind w:left="426"/>
        <w:jc w:val="both"/>
      </w:pPr>
      <w:r>
        <w:t xml:space="preserve"> </w:t>
      </w:r>
      <w:r w:rsidR="0095524A">
        <w:t xml:space="preserve">hejtman Karlovarského kraje                                                    </w:t>
      </w:r>
      <w:r>
        <w:t>(p</w:t>
      </w:r>
      <w:r w:rsidR="0095524A">
        <w:t>říjemce</w:t>
      </w:r>
      <w:r>
        <w:t>)</w:t>
      </w:r>
      <w:r>
        <w:tab/>
      </w:r>
      <w:r>
        <w:tab/>
      </w:r>
      <w:r>
        <w:tab/>
      </w:r>
      <w:r w:rsidR="0095524A">
        <w:t xml:space="preserve">      </w:t>
      </w:r>
      <w:r>
        <w:t xml:space="preserve">    </w:t>
      </w:r>
      <w:r w:rsidR="00154A88">
        <w:t xml:space="preserve">    </w:t>
      </w:r>
      <w:r>
        <w:t xml:space="preserve"> </w:t>
      </w:r>
      <w:r w:rsidR="007906DB">
        <w:t xml:space="preserve">         </w:t>
      </w:r>
      <w:r w:rsidR="0095524A">
        <w:t xml:space="preserve">     </w:t>
      </w:r>
    </w:p>
    <w:p w14:paraId="3C16FF7E" w14:textId="77777777" w:rsidR="00C36930" w:rsidRDefault="0095524A" w:rsidP="00C36930">
      <w:pPr>
        <w:pStyle w:val="Odstavecseseznamem"/>
        <w:ind w:left="426"/>
        <w:jc w:val="both"/>
      </w:pPr>
      <w:r>
        <w:t xml:space="preserve">           </w:t>
      </w:r>
      <w:r w:rsidR="00C36930">
        <w:t>(p</w:t>
      </w:r>
      <w:r>
        <w:t>oskytovatel</w:t>
      </w:r>
      <w:r w:rsidR="00C36930">
        <w:t>)</w:t>
      </w:r>
    </w:p>
    <w:p w14:paraId="59544A62" w14:textId="77777777" w:rsidR="00DF7C40" w:rsidRDefault="00DF7C40" w:rsidP="00C36930">
      <w:pPr>
        <w:pStyle w:val="Odstavecseseznamem"/>
        <w:ind w:left="426"/>
        <w:jc w:val="both"/>
      </w:pPr>
    </w:p>
    <w:p w14:paraId="11B66D18" w14:textId="77777777" w:rsidR="00DF7C40" w:rsidRDefault="00DF7C40" w:rsidP="00C36930">
      <w:pPr>
        <w:pStyle w:val="Odstavecseseznamem"/>
        <w:ind w:left="426"/>
        <w:jc w:val="both"/>
      </w:pPr>
    </w:p>
    <w:p w14:paraId="1E83DCE1" w14:textId="77777777" w:rsidR="00DF7C40" w:rsidRDefault="00154A88" w:rsidP="00C36930">
      <w:pPr>
        <w:pStyle w:val="Odstavecseseznamem"/>
        <w:ind w:left="426"/>
        <w:jc w:val="both"/>
      </w:pPr>
      <w:bookmarkStart w:id="25" w:name="podpisVar1"/>
      <w:r>
        <w:t>Příloha</w:t>
      </w:r>
      <w:r w:rsidR="003A2F90">
        <w:t>:</w:t>
      </w:r>
      <w:bookmarkEnd w:id="25"/>
    </w:p>
    <w:p w14:paraId="43BD6F31" w14:textId="77777777" w:rsidR="00154A88" w:rsidRDefault="00154A88" w:rsidP="00C36930">
      <w:pPr>
        <w:pStyle w:val="Odstavecseseznamem"/>
        <w:ind w:left="426"/>
        <w:jc w:val="both"/>
      </w:pPr>
      <w:r w:rsidRPr="00C45369">
        <w:rPr>
          <w:rFonts w:eastAsia="Times New Roman"/>
          <w:lang w:eastAsia="cs-CZ"/>
        </w:rPr>
        <w:t>Žádost o poskytnutí dotace z programu Karlovarského kraje</w:t>
      </w:r>
    </w:p>
    <w:p w14:paraId="48676CBE" w14:textId="77777777" w:rsidR="00A70679" w:rsidRDefault="00A70679" w:rsidP="00154A88">
      <w:pPr>
        <w:spacing w:after="0" w:line="240" w:lineRule="auto"/>
        <w:rPr>
          <w:rFonts w:eastAsia="Times New Roman"/>
          <w:lang w:eastAsia="cs-CZ"/>
        </w:rPr>
      </w:pPr>
    </w:p>
    <w:p w14:paraId="555F8144" w14:textId="4D261103"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lang w:eastAsia="cs-CZ"/>
        </w:rPr>
        <w:t>Za správnost:</w:t>
      </w:r>
    </w:p>
    <w:p w14:paraId="4BEEFF12" w14:textId="77777777"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</w:p>
    <w:p w14:paraId="2ABC2890" w14:textId="77777777"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lang w:eastAsia="cs-CZ"/>
        </w:rPr>
        <w:t>..... ..... ..... ..... ..... .....</w:t>
      </w:r>
    </w:p>
    <w:p w14:paraId="0F6CD9AF" w14:textId="77777777" w:rsidR="00C12ECC" w:rsidRDefault="00C12ECC" w:rsidP="00154A88">
      <w:pPr>
        <w:spacing w:after="0" w:line="240" w:lineRule="auto"/>
        <w:rPr>
          <w:rFonts w:eastAsia="Times New Roman"/>
          <w:lang w:eastAsia="cs-CZ"/>
        </w:rPr>
      </w:pPr>
    </w:p>
    <w:p w14:paraId="5DE7B8FB" w14:textId="77777777" w:rsidR="00C12ECC" w:rsidRPr="00154A88" w:rsidRDefault="00C12ECC" w:rsidP="00154A88">
      <w:pPr>
        <w:spacing w:after="0" w:line="240" w:lineRule="auto"/>
        <w:rPr>
          <w:rFonts w:eastAsia="Times New Roman"/>
          <w:lang w:eastAsia="cs-CZ"/>
        </w:rPr>
      </w:pPr>
    </w:p>
    <w:p w14:paraId="1DB06E0C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20"/>
          <w:szCs w:val="20"/>
          <w:lang w:eastAsia="cs-CZ"/>
        </w:rPr>
      </w:pPr>
      <w:bookmarkStart w:id="26" w:name="razitkoRada"/>
      <w:bookmarkEnd w:id="26"/>
      <w:r w:rsidRPr="00154A88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="0095524A" w:rsidRPr="003C5774">
        <w:rPr>
          <w:rFonts w:eastAsia="Times New Roman"/>
          <w:b/>
          <w:sz w:val="20"/>
          <w:szCs w:val="20"/>
          <w:highlight w:val="yellow"/>
          <w:lang w:eastAsia="cs-CZ"/>
        </w:rPr>
        <w:t xml:space="preserve">ZK </w:t>
      </w:r>
      <w:r w:rsidR="003C5774" w:rsidRPr="003C5774">
        <w:rPr>
          <w:rFonts w:eastAsia="Times New Roman"/>
          <w:b/>
          <w:sz w:val="20"/>
          <w:szCs w:val="20"/>
          <w:highlight w:val="yellow"/>
          <w:lang w:eastAsia="cs-CZ"/>
        </w:rPr>
        <w:t>xxx</w:t>
      </w:r>
      <w:r w:rsidR="0095524A" w:rsidRPr="003C5774">
        <w:rPr>
          <w:rFonts w:eastAsia="Times New Roman"/>
          <w:b/>
          <w:sz w:val="20"/>
          <w:szCs w:val="20"/>
          <w:highlight w:val="yellow"/>
          <w:lang w:eastAsia="cs-CZ"/>
        </w:rPr>
        <w:t>/</w:t>
      </w:r>
      <w:r w:rsidR="003C5774" w:rsidRPr="003C5774">
        <w:rPr>
          <w:rFonts w:eastAsia="Times New Roman"/>
          <w:b/>
          <w:sz w:val="20"/>
          <w:szCs w:val="20"/>
          <w:highlight w:val="yellow"/>
          <w:lang w:eastAsia="cs-CZ"/>
        </w:rPr>
        <w:t>xx</w:t>
      </w:r>
      <w:r w:rsidR="0095524A" w:rsidRPr="003C5774">
        <w:rPr>
          <w:rFonts w:eastAsia="Times New Roman"/>
          <w:b/>
          <w:sz w:val="20"/>
          <w:szCs w:val="20"/>
          <w:highlight w:val="yellow"/>
          <w:lang w:eastAsia="cs-CZ"/>
        </w:rPr>
        <w:t>/</w:t>
      </w:r>
      <w:r w:rsidR="003C5774" w:rsidRPr="003C5774">
        <w:rPr>
          <w:rFonts w:eastAsia="Times New Roman"/>
          <w:b/>
          <w:sz w:val="20"/>
          <w:szCs w:val="20"/>
          <w:highlight w:val="yellow"/>
          <w:lang w:eastAsia="cs-CZ"/>
        </w:rPr>
        <w:t>xx</w:t>
      </w:r>
      <w:r w:rsidRPr="00154A88">
        <w:rPr>
          <w:rFonts w:eastAsia="Times New Roman"/>
          <w:b/>
          <w:sz w:val="20"/>
          <w:szCs w:val="20"/>
          <w:lang w:eastAsia="cs-CZ"/>
        </w:rPr>
        <w:t xml:space="preserve">  </w:t>
      </w:r>
      <w:r w:rsidRPr="003C5774">
        <w:rPr>
          <w:rFonts w:eastAsia="Times New Roman"/>
          <w:b/>
          <w:sz w:val="20"/>
          <w:szCs w:val="20"/>
          <w:highlight w:val="yellow"/>
          <w:lang w:eastAsia="cs-CZ"/>
        </w:rPr>
        <w:t xml:space="preserve">ze dne </w:t>
      </w:r>
      <w:r w:rsidR="003C5774" w:rsidRPr="003C5774">
        <w:rPr>
          <w:rFonts w:eastAsia="Times New Roman"/>
          <w:b/>
          <w:sz w:val="20"/>
          <w:szCs w:val="20"/>
          <w:highlight w:val="yellow"/>
          <w:lang w:eastAsia="cs-CZ"/>
        </w:rPr>
        <w:t>xxxxxx</w:t>
      </w:r>
    </w:p>
    <w:p w14:paraId="147A7550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14:paraId="38F34552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11, 13 vyhl. č. 416/2004 Sb.</w:t>
      </w:r>
    </w:p>
    <w:p w14:paraId="67B72AA9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78EC875B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154A88">
        <w:rPr>
          <w:rFonts w:eastAsia="Times New Roman"/>
          <w:b/>
          <w:sz w:val="20"/>
          <w:szCs w:val="20"/>
          <w:lang w:eastAsia="cs-CZ"/>
        </w:rPr>
        <w:t>Příkazce operace:</w:t>
      </w:r>
      <w:r w:rsidRPr="00154A88">
        <w:rPr>
          <w:rFonts w:eastAsia="Times New Roman"/>
          <w:b/>
          <w:sz w:val="20"/>
          <w:szCs w:val="20"/>
          <w:lang w:eastAsia="cs-CZ"/>
        </w:rPr>
        <w:tab/>
      </w:r>
      <w:r w:rsidRPr="00154A88">
        <w:rPr>
          <w:rFonts w:eastAsia="Times New Roman"/>
          <w:b/>
          <w:sz w:val="20"/>
          <w:szCs w:val="20"/>
          <w:lang w:eastAsia="cs-CZ"/>
        </w:rPr>
        <w:tab/>
      </w:r>
      <w:r w:rsidRPr="00154A88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2511B8D4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33EC5FC7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0E232911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 w:rsidRPr="00154A88">
        <w:rPr>
          <w:rFonts w:eastAsia="Times New Roman"/>
          <w:sz w:val="20"/>
          <w:szCs w:val="20"/>
          <w:lang w:eastAsia="cs-CZ"/>
        </w:rPr>
        <w:t>Ing. Alena Šalátová</w:t>
      </w:r>
      <w:r w:rsidRPr="00154A88">
        <w:rPr>
          <w:rFonts w:eastAsia="Times New Roman"/>
          <w:sz w:val="20"/>
          <w:szCs w:val="20"/>
          <w:lang w:eastAsia="cs-CZ"/>
        </w:rPr>
        <w:tab/>
      </w:r>
      <w:r w:rsidRPr="00154A88">
        <w:rPr>
          <w:rFonts w:eastAsia="Times New Roman"/>
          <w:sz w:val="20"/>
          <w:szCs w:val="20"/>
          <w:lang w:eastAsia="cs-CZ"/>
        </w:rPr>
        <w:tab/>
      </w:r>
      <w:r w:rsidRPr="00154A88">
        <w:rPr>
          <w:rFonts w:eastAsia="Times New Roman"/>
          <w:sz w:val="20"/>
          <w:szCs w:val="20"/>
          <w:lang w:eastAsia="cs-CZ"/>
        </w:rPr>
        <w:tab/>
      </w:r>
    </w:p>
    <w:p w14:paraId="75EB277F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Vedoucí odboru zdravotnictví</w:t>
      </w:r>
    </w:p>
    <w:p w14:paraId="5957276D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</w:p>
    <w:p w14:paraId="7F9056D6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5F605291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0D4C6436" w14:textId="77777777"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46AD35CC" w14:textId="77777777" w:rsidR="00154A88" w:rsidRPr="00154A88" w:rsidRDefault="003C5774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  <w:sectPr w:rsidR="00154A88" w:rsidRPr="00154A88" w:rsidSect="0035761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eastAsia="Times New Roman"/>
          <w:color w:val="FF0000"/>
          <w:sz w:val="20"/>
          <w:szCs w:val="20"/>
          <w:lang w:eastAsia="cs-CZ"/>
        </w:rPr>
        <w:t xml:space="preserve">               </w:t>
      </w:r>
      <w:r w:rsidRPr="003C5774">
        <w:rPr>
          <w:rFonts w:eastAsia="Times New Roman"/>
          <w:sz w:val="20"/>
          <w:szCs w:val="20"/>
          <w:lang w:eastAsia="cs-CZ"/>
        </w:rPr>
        <w:t xml:space="preserve"> </w:t>
      </w:r>
      <w:r w:rsidRPr="003C5774">
        <w:rPr>
          <w:rFonts w:eastAsia="Times New Roman"/>
          <w:sz w:val="20"/>
          <w:szCs w:val="20"/>
          <w:highlight w:val="yellow"/>
          <w:lang w:eastAsia="cs-CZ"/>
        </w:rPr>
        <w:t>referent</w:t>
      </w:r>
      <w:r w:rsidR="00154A88" w:rsidRPr="003C5774">
        <w:rPr>
          <w:rFonts w:eastAsia="Times New Roman"/>
          <w:sz w:val="20"/>
          <w:szCs w:val="20"/>
          <w:lang w:eastAsia="cs-CZ"/>
        </w:rPr>
        <w:t xml:space="preserve">                </w:t>
      </w:r>
      <w:r w:rsidR="00154A88" w:rsidRPr="003C5774">
        <w:rPr>
          <w:rFonts w:eastAsia="Times New Roman"/>
          <w:sz w:val="20"/>
          <w:szCs w:val="20"/>
          <w:highlight w:val="yellow"/>
          <w:lang w:eastAsia="cs-CZ"/>
        </w:rPr>
        <w:t xml:space="preserve">dne </w:t>
      </w:r>
      <w:r w:rsidRPr="003C5774">
        <w:rPr>
          <w:rFonts w:eastAsia="Times New Roman"/>
          <w:sz w:val="20"/>
          <w:szCs w:val="20"/>
          <w:highlight w:val="yellow"/>
          <w:lang w:eastAsia="cs-CZ"/>
        </w:rPr>
        <w:t>xxxxxxxxx</w:t>
      </w:r>
      <w:r w:rsidR="00154A88" w:rsidRPr="00154A88">
        <w:rPr>
          <w:rFonts w:eastAsia="Times New Roman"/>
          <w:sz w:val="20"/>
          <w:szCs w:val="20"/>
          <w:lang w:eastAsia="cs-CZ"/>
        </w:rPr>
        <w:tab/>
        <w:t>Podpis:</w:t>
      </w:r>
    </w:p>
    <w:p w14:paraId="7DF5A634" w14:textId="77777777" w:rsidR="00154A88" w:rsidRPr="00154A88" w:rsidRDefault="00154A88" w:rsidP="00154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 w:rsidRPr="00154A88"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154A88" w:rsidRPr="00154A88" w14:paraId="028C421A" w14:textId="77777777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F60396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1FF48482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pacing w:val="8"/>
                <w:lang w:eastAsia="cs-CZ"/>
              </w:rPr>
            </w:pPr>
          </w:p>
        </w:tc>
      </w:tr>
      <w:tr w:rsidR="00154A88" w:rsidRPr="00154A88" w14:paraId="03E60790" w14:textId="77777777" w:rsidTr="009F31AE">
        <w:trPr>
          <w:trHeight w:val="151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D08EE0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14:paraId="31060065" w14:textId="77777777" w:rsidR="00154A88" w:rsidRPr="00154A88" w:rsidRDefault="00154A88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bCs/>
                <w:lang w:eastAsia="cs-CZ"/>
              </w:rPr>
              <w:t>Veřejnoprávní smlouva</w:t>
            </w:r>
            <w:r w:rsidRPr="00154A88"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14:paraId="4E49E514" w14:textId="77777777" w:rsidR="00154A88" w:rsidRPr="00154A88" w:rsidRDefault="004F1054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  <w:r w:rsidRPr="004F1054">
              <w:rPr>
                <w:rFonts w:eastAsia="Times New Roman"/>
                <w:highlight w:val="yellow"/>
                <w:lang w:eastAsia="cs-CZ"/>
              </w:rPr>
              <w:t>příjemce dotace</w:t>
            </w:r>
          </w:p>
        </w:tc>
      </w:tr>
      <w:tr w:rsidR="00154A88" w:rsidRPr="00154A88" w14:paraId="49AEDF3C" w14:textId="77777777" w:rsidTr="009F31AE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C3E1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Evidenční číslo hlavní smlouvy:</w:t>
            </w:r>
            <w:r w:rsidRPr="00154A88">
              <w:rPr>
                <w:rFonts w:eastAsia="Times New Roman"/>
                <w:spacing w:val="8"/>
                <w:sz w:val="18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B35ACB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154A88" w:rsidRPr="00154A88" w14:paraId="60C56FA1" w14:textId="77777777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132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844130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</w:p>
        </w:tc>
      </w:tr>
      <w:tr w:rsidR="00154A88" w:rsidRPr="00154A88" w14:paraId="6EA923B1" w14:textId="77777777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85F3D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64A6248" w14:textId="77777777" w:rsidR="00154A88" w:rsidRPr="00154A88" w:rsidRDefault="00154A88" w:rsidP="00A7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</w:p>
        </w:tc>
      </w:tr>
      <w:tr w:rsidR="00154A88" w:rsidRPr="00154A88" w14:paraId="3AFA321F" w14:textId="77777777" w:rsidTr="009F31AE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CB3EB3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314D8B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ANO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F789248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0F90A442" w14:textId="77777777" w:rsidR="00154A88" w:rsidRPr="00154A88" w:rsidRDefault="00154A88" w:rsidP="00B4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Podpis:</w:t>
            </w:r>
          </w:p>
        </w:tc>
      </w:tr>
      <w:tr w:rsidR="00154A88" w:rsidRPr="00154A88" w14:paraId="552696E9" w14:textId="77777777" w:rsidTr="009F31AE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74E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5C1F38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lang w:eastAsia="cs-CZ"/>
              </w:rPr>
              <w:t>Odbor investic</w:t>
            </w:r>
          </w:p>
        </w:tc>
      </w:tr>
      <w:tr w:rsidR="00154A88" w:rsidRPr="00154A88" w14:paraId="7F0A5451" w14:textId="77777777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543E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44A211" w14:textId="77777777" w:rsidR="00154A88" w:rsidRPr="00154A88" w:rsidRDefault="00154A88" w:rsidP="004F105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</w:t>
            </w:r>
            <w:r w:rsidR="0095524A">
              <w:rPr>
                <w:rFonts w:eastAsia="Times New Roman"/>
                <w:sz w:val="16"/>
                <w:lang w:eastAsia="cs-CZ"/>
              </w:rPr>
              <w:t xml:space="preserve"> </w:t>
            </w:r>
            <w:r w:rsidR="004F1054">
              <w:rPr>
                <w:rFonts w:eastAsia="Times New Roman"/>
                <w:sz w:val="16"/>
                <w:lang w:eastAsia="cs-CZ"/>
              </w:rPr>
              <w:t xml:space="preserve">           </w:t>
            </w:r>
            <w:r w:rsidR="0095524A">
              <w:rPr>
                <w:rFonts w:eastAsia="Times New Roman"/>
                <w:sz w:val="16"/>
                <w:lang w:eastAsia="cs-CZ"/>
              </w:rPr>
              <w:t xml:space="preserve"> </w:t>
            </w:r>
            <w:r w:rsidRPr="00154A88">
              <w:rPr>
                <w:rFonts w:eastAsia="Times New Roman"/>
                <w:sz w:val="16"/>
                <w:lang w:eastAsia="cs-CZ"/>
              </w:rPr>
              <w:t xml:space="preserve">   </w:t>
            </w:r>
            <w:r w:rsidR="00A03E7C">
              <w:rPr>
                <w:rFonts w:eastAsia="Times New Roman"/>
                <w:sz w:val="16"/>
                <w:lang w:eastAsia="cs-CZ"/>
              </w:rPr>
              <w:t xml:space="preserve">         </w:t>
            </w:r>
            <w:r w:rsidRPr="00154A88">
              <w:rPr>
                <w:rFonts w:eastAsia="Times New Roman"/>
                <w:sz w:val="16"/>
                <w:lang w:eastAsia="cs-CZ"/>
              </w:rPr>
              <w:t xml:space="preserve">Podpis: </w:t>
            </w:r>
          </w:p>
        </w:tc>
      </w:tr>
      <w:tr w:rsidR="00154A88" w:rsidRPr="00154A88" w14:paraId="447B6280" w14:textId="77777777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A814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A9DC76" w14:textId="77777777" w:rsidR="00154A88" w:rsidRPr="00154A88" w:rsidRDefault="00154A88" w:rsidP="004F105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4F1054">
              <w:rPr>
                <w:rFonts w:eastAsia="Times New Roman"/>
                <w:sz w:val="16"/>
                <w:lang w:eastAsia="cs-CZ"/>
              </w:rPr>
              <w:t xml:space="preserve">                    </w:t>
            </w:r>
            <w:r w:rsidR="00C81C9C">
              <w:rPr>
                <w:rFonts w:eastAsia="Times New Roman"/>
                <w:sz w:val="16"/>
                <w:lang w:eastAsia="cs-CZ"/>
              </w:rPr>
              <w:t xml:space="preserve">   </w:t>
            </w:r>
            <w:r w:rsidRPr="00154A88">
              <w:rPr>
                <w:rFonts w:eastAsia="Times New Roman"/>
                <w:sz w:val="16"/>
                <w:lang w:eastAsia="cs-CZ"/>
              </w:rPr>
              <w:t>Podpis: Mgr. Michal Mottl</w:t>
            </w:r>
          </w:p>
        </w:tc>
      </w:tr>
      <w:tr w:rsidR="00154A88" w:rsidRPr="00154A88" w14:paraId="2B82C9DD" w14:textId="77777777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4DA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F214C8F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                       Podpis: Ing. Tomáš Brtek</w:t>
            </w:r>
          </w:p>
        </w:tc>
      </w:tr>
      <w:tr w:rsidR="00154A88" w:rsidRPr="00154A88" w14:paraId="7C506A4D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86FACD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154A88" w:rsidRPr="00154A88" w14:paraId="07EC8121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B1864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8B37717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154A88" w:rsidRPr="00154A88" w14:paraId="22611BFD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28550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154A88" w:rsidRPr="00154A88" w14:paraId="143EAAE1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F28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2FA7A1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14:paraId="134C41AF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E269F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C8C7408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14:paraId="304E5121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8083D4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 w:rsidRPr="00154A88"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154A88" w:rsidRPr="00154A88" w14:paraId="2810D494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B353B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285F4E5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14:paraId="33329E11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B7EE02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154A88" w:rsidRPr="00154A88" w14:paraId="79F4D67C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6B5C3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8D7CD89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154A88">
              <w:rPr>
                <w:rFonts w:eastAsia="Times New Roman"/>
                <w:sz w:val="16"/>
                <w:szCs w:val="16"/>
                <w:lang w:eastAsia="cs-CZ"/>
              </w:rPr>
              <w:t>Dne:                        Podpis: Ing. Alena Šalátová</w:t>
            </w:r>
          </w:p>
        </w:tc>
      </w:tr>
      <w:tr w:rsidR="00154A88" w:rsidRPr="00154A88" w14:paraId="51BC9D72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D54B75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154A88" w:rsidRPr="00154A88" w14:paraId="3CF0D7C7" w14:textId="77777777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F1055D" w14:textId="77777777"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67B0A6" w14:textId="77777777" w:rsidR="00154A88" w:rsidRPr="00154A88" w:rsidRDefault="00154A88" w:rsidP="004F105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154A88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</w:p>
        </w:tc>
      </w:tr>
    </w:tbl>
    <w:p w14:paraId="7E92B05A" w14:textId="77777777" w:rsidR="00154A88" w:rsidRPr="00154A88" w:rsidRDefault="00154A88" w:rsidP="00154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14:paraId="5C845C56" w14:textId="77777777" w:rsidR="00C36930" w:rsidRDefault="00C36930" w:rsidP="00154A88">
      <w:pPr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2B3F" w14:textId="77777777" w:rsidR="006B70FB" w:rsidRDefault="006B70FB">
      <w:pPr>
        <w:spacing w:after="0" w:line="240" w:lineRule="auto"/>
      </w:pPr>
      <w:r>
        <w:separator/>
      </w:r>
    </w:p>
  </w:endnote>
  <w:endnote w:type="continuationSeparator" w:id="0">
    <w:p w14:paraId="402B6E3A" w14:textId="77777777" w:rsidR="006B70FB" w:rsidRDefault="006B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486370" w14:textId="5A6A1786" w:rsidR="00154A88" w:rsidRPr="00054236" w:rsidRDefault="00154A88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5555F2">
              <w:rPr>
                <w:rFonts w:ascii="Times New Roman" w:hAnsi="Times New Roman"/>
                <w:bCs/>
                <w:noProof/>
              </w:rPr>
              <w:t>9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960F3C">
              <w:rPr>
                <w:rFonts w:ascii="Times New Roman" w:hAnsi="Times New Roman"/>
              </w:rPr>
              <w:t>8</w:t>
            </w:r>
          </w:p>
        </w:sdtContent>
      </w:sdt>
    </w:sdtContent>
  </w:sdt>
  <w:p w14:paraId="491BABBC" w14:textId="77777777" w:rsidR="00154A88" w:rsidRDefault="00154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1CDF" w14:textId="77777777" w:rsidR="006B70FB" w:rsidRDefault="006B70FB">
      <w:pPr>
        <w:spacing w:after="0" w:line="240" w:lineRule="auto"/>
      </w:pPr>
      <w:r>
        <w:separator/>
      </w:r>
    </w:p>
  </w:footnote>
  <w:footnote w:type="continuationSeparator" w:id="0">
    <w:p w14:paraId="140962AB" w14:textId="77777777" w:rsidR="006B70FB" w:rsidRDefault="006B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337"/>
    <w:multiLevelType w:val="hybridMultilevel"/>
    <w:tmpl w:val="2974B0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C65B3"/>
    <w:multiLevelType w:val="hybridMultilevel"/>
    <w:tmpl w:val="F53C919C"/>
    <w:lvl w:ilvl="0" w:tplc="8ECEE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D39"/>
    <w:multiLevelType w:val="hybridMultilevel"/>
    <w:tmpl w:val="432668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27E8A"/>
    <w:multiLevelType w:val="hybridMultilevel"/>
    <w:tmpl w:val="B5F2911A"/>
    <w:lvl w:ilvl="0" w:tplc="FCC2438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16A92"/>
    <w:multiLevelType w:val="hybridMultilevel"/>
    <w:tmpl w:val="076C1E9A"/>
    <w:lvl w:ilvl="0" w:tplc="402AFD1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377C9"/>
    <w:multiLevelType w:val="hybridMultilevel"/>
    <w:tmpl w:val="6D1E828A"/>
    <w:lvl w:ilvl="0" w:tplc="04050017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1"/>
  </w:num>
  <w:num w:numId="5">
    <w:abstractNumId w:val="19"/>
  </w:num>
  <w:num w:numId="6">
    <w:abstractNumId w:val="18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10"/>
  </w:num>
  <w:num w:numId="12">
    <w:abstractNumId w:val="7"/>
  </w:num>
  <w:num w:numId="13">
    <w:abstractNumId w:val="15"/>
  </w:num>
  <w:num w:numId="14">
    <w:abstractNumId w:val="5"/>
  </w:num>
  <w:num w:numId="15">
    <w:abstractNumId w:val="20"/>
  </w:num>
  <w:num w:numId="16">
    <w:abstractNumId w:val="11"/>
  </w:num>
  <w:num w:numId="17">
    <w:abstractNumId w:val="2"/>
  </w:num>
  <w:num w:numId="18">
    <w:abstractNumId w:val="1"/>
  </w:num>
  <w:num w:numId="19">
    <w:abstractNumId w:val="13"/>
  </w:num>
  <w:num w:numId="20">
    <w:abstractNumId w:val="12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90"/>
    <w:rsid w:val="00003A86"/>
    <w:rsid w:val="00004F27"/>
    <w:rsid w:val="00007A75"/>
    <w:rsid w:val="00011258"/>
    <w:rsid w:val="00015264"/>
    <w:rsid w:val="0002214C"/>
    <w:rsid w:val="00026993"/>
    <w:rsid w:val="0003041C"/>
    <w:rsid w:val="000340E6"/>
    <w:rsid w:val="000351F0"/>
    <w:rsid w:val="00041E98"/>
    <w:rsid w:val="000464E4"/>
    <w:rsid w:val="000479C1"/>
    <w:rsid w:val="0005262C"/>
    <w:rsid w:val="00055513"/>
    <w:rsid w:val="00062055"/>
    <w:rsid w:val="00070C58"/>
    <w:rsid w:val="00074527"/>
    <w:rsid w:val="00075321"/>
    <w:rsid w:val="0008759A"/>
    <w:rsid w:val="000C5EFA"/>
    <w:rsid w:val="000D5BDC"/>
    <w:rsid w:val="000E4E4E"/>
    <w:rsid w:val="00146ABA"/>
    <w:rsid w:val="00146E83"/>
    <w:rsid w:val="001545D0"/>
    <w:rsid w:val="00154A88"/>
    <w:rsid w:val="00160A4E"/>
    <w:rsid w:val="00180964"/>
    <w:rsid w:val="00183F96"/>
    <w:rsid w:val="00184FED"/>
    <w:rsid w:val="001B259B"/>
    <w:rsid w:val="001C5359"/>
    <w:rsid w:val="001D2A63"/>
    <w:rsid w:val="001F070A"/>
    <w:rsid w:val="001F0D08"/>
    <w:rsid w:val="001F22B9"/>
    <w:rsid w:val="001F4695"/>
    <w:rsid w:val="00202CA6"/>
    <w:rsid w:val="00204F21"/>
    <w:rsid w:val="0020654F"/>
    <w:rsid w:val="00206D8F"/>
    <w:rsid w:val="002108D6"/>
    <w:rsid w:val="0021737F"/>
    <w:rsid w:val="00217D13"/>
    <w:rsid w:val="00222286"/>
    <w:rsid w:val="00230F60"/>
    <w:rsid w:val="00233FC1"/>
    <w:rsid w:val="00235439"/>
    <w:rsid w:val="00240774"/>
    <w:rsid w:val="00254D44"/>
    <w:rsid w:val="002701B4"/>
    <w:rsid w:val="00274183"/>
    <w:rsid w:val="00292765"/>
    <w:rsid w:val="0029680B"/>
    <w:rsid w:val="002A0729"/>
    <w:rsid w:val="002A0A52"/>
    <w:rsid w:val="002A63AE"/>
    <w:rsid w:val="002B787A"/>
    <w:rsid w:val="002D2C83"/>
    <w:rsid w:val="002D5A59"/>
    <w:rsid w:val="002D5B01"/>
    <w:rsid w:val="002E5AB9"/>
    <w:rsid w:val="002F0529"/>
    <w:rsid w:val="002F548C"/>
    <w:rsid w:val="00304B06"/>
    <w:rsid w:val="00306254"/>
    <w:rsid w:val="00320F70"/>
    <w:rsid w:val="00334011"/>
    <w:rsid w:val="00335E00"/>
    <w:rsid w:val="0033698E"/>
    <w:rsid w:val="003407AA"/>
    <w:rsid w:val="003633F7"/>
    <w:rsid w:val="003667A8"/>
    <w:rsid w:val="00373318"/>
    <w:rsid w:val="00380E64"/>
    <w:rsid w:val="00384D38"/>
    <w:rsid w:val="003924DB"/>
    <w:rsid w:val="003A2C6D"/>
    <w:rsid w:val="003A2F90"/>
    <w:rsid w:val="003B3B2A"/>
    <w:rsid w:val="003C5774"/>
    <w:rsid w:val="003D3C08"/>
    <w:rsid w:val="003D415C"/>
    <w:rsid w:val="003D50F8"/>
    <w:rsid w:val="003D6F9C"/>
    <w:rsid w:val="003E0A0D"/>
    <w:rsid w:val="003E1E6D"/>
    <w:rsid w:val="003E401B"/>
    <w:rsid w:val="003F5DF2"/>
    <w:rsid w:val="004111AE"/>
    <w:rsid w:val="0041654A"/>
    <w:rsid w:val="004236AF"/>
    <w:rsid w:val="00440945"/>
    <w:rsid w:val="004527A2"/>
    <w:rsid w:val="00453EBA"/>
    <w:rsid w:val="00462729"/>
    <w:rsid w:val="00463E94"/>
    <w:rsid w:val="00464638"/>
    <w:rsid w:val="0049110A"/>
    <w:rsid w:val="004C1581"/>
    <w:rsid w:val="004C1E0B"/>
    <w:rsid w:val="004C532F"/>
    <w:rsid w:val="004F1054"/>
    <w:rsid w:val="004F482A"/>
    <w:rsid w:val="005043B3"/>
    <w:rsid w:val="00511128"/>
    <w:rsid w:val="00521A67"/>
    <w:rsid w:val="00530F17"/>
    <w:rsid w:val="00532191"/>
    <w:rsid w:val="005361D3"/>
    <w:rsid w:val="00541C9A"/>
    <w:rsid w:val="005448DB"/>
    <w:rsid w:val="00545B78"/>
    <w:rsid w:val="005473F0"/>
    <w:rsid w:val="00550245"/>
    <w:rsid w:val="00550F49"/>
    <w:rsid w:val="00551A77"/>
    <w:rsid w:val="005555F2"/>
    <w:rsid w:val="00592516"/>
    <w:rsid w:val="005A12F4"/>
    <w:rsid w:val="005A36EE"/>
    <w:rsid w:val="005A56B9"/>
    <w:rsid w:val="005C72C4"/>
    <w:rsid w:val="005C770F"/>
    <w:rsid w:val="005D62D5"/>
    <w:rsid w:val="005D7991"/>
    <w:rsid w:val="00605973"/>
    <w:rsid w:val="006232BC"/>
    <w:rsid w:val="006233C7"/>
    <w:rsid w:val="00631370"/>
    <w:rsid w:val="006424DA"/>
    <w:rsid w:val="00656BBB"/>
    <w:rsid w:val="006604F0"/>
    <w:rsid w:val="006735BF"/>
    <w:rsid w:val="00682BC1"/>
    <w:rsid w:val="00691FC1"/>
    <w:rsid w:val="006B70FB"/>
    <w:rsid w:val="006D076C"/>
    <w:rsid w:val="006D31E0"/>
    <w:rsid w:val="006D6502"/>
    <w:rsid w:val="007076E2"/>
    <w:rsid w:val="00721989"/>
    <w:rsid w:val="007254C7"/>
    <w:rsid w:val="0073555C"/>
    <w:rsid w:val="007357D0"/>
    <w:rsid w:val="00735A2A"/>
    <w:rsid w:val="007457DA"/>
    <w:rsid w:val="0075162C"/>
    <w:rsid w:val="007550F7"/>
    <w:rsid w:val="00762609"/>
    <w:rsid w:val="00763ECA"/>
    <w:rsid w:val="0077380D"/>
    <w:rsid w:val="00786B65"/>
    <w:rsid w:val="00787CF3"/>
    <w:rsid w:val="007906DB"/>
    <w:rsid w:val="00797D16"/>
    <w:rsid w:val="007A1533"/>
    <w:rsid w:val="007A786B"/>
    <w:rsid w:val="007A7DAA"/>
    <w:rsid w:val="007B68D2"/>
    <w:rsid w:val="007C3CBA"/>
    <w:rsid w:val="007F0619"/>
    <w:rsid w:val="0080105E"/>
    <w:rsid w:val="00803DF9"/>
    <w:rsid w:val="00814EA5"/>
    <w:rsid w:val="008206E6"/>
    <w:rsid w:val="008548AB"/>
    <w:rsid w:val="00857495"/>
    <w:rsid w:val="0086353B"/>
    <w:rsid w:val="0087019E"/>
    <w:rsid w:val="008707FC"/>
    <w:rsid w:val="00891229"/>
    <w:rsid w:val="008940FE"/>
    <w:rsid w:val="008955F3"/>
    <w:rsid w:val="008A3A51"/>
    <w:rsid w:val="008A79D1"/>
    <w:rsid w:val="008B7369"/>
    <w:rsid w:val="008C0F3A"/>
    <w:rsid w:val="008C41AB"/>
    <w:rsid w:val="008D6535"/>
    <w:rsid w:val="008E580C"/>
    <w:rsid w:val="008F2BA1"/>
    <w:rsid w:val="008F326B"/>
    <w:rsid w:val="008F513C"/>
    <w:rsid w:val="008F66FB"/>
    <w:rsid w:val="008F67F2"/>
    <w:rsid w:val="008F7700"/>
    <w:rsid w:val="00912A88"/>
    <w:rsid w:val="0092381C"/>
    <w:rsid w:val="00924D42"/>
    <w:rsid w:val="00932943"/>
    <w:rsid w:val="0093794E"/>
    <w:rsid w:val="00946FE5"/>
    <w:rsid w:val="0095183F"/>
    <w:rsid w:val="0095524A"/>
    <w:rsid w:val="00960F3C"/>
    <w:rsid w:val="00963D94"/>
    <w:rsid w:val="00976FB6"/>
    <w:rsid w:val="0097749A"/>
    <w:rsid w:val="0099045B"/>
    <w:rsid w:val="009908CC"/>
    <w:rsid w:val="009922D2"/>
    <w:rsid w:val="009A5CD4"/>
    <w:rsid w:val="009C2738"/>
    <w:rsid w:val="009F4CC0"/>
    <w:rsid w:val="009F7CCF"/>
    <w:rsid w:val="00A03E7C"/>
    <w:rsid w:val="00A06B17"/>
    <w:rsid w:val="00A10E56"/>
    <w:rsid w:val="00A1395D"/>
    <w:rsid w:val="00A24D7C"/>
    <w:rsid w:val="00A4036C"/>
    <w:rsid w:val="00A416EA"/>
    <w:rsid w:val="00A43A8F"/>
    <w:rsid w:val="00A457FA"/>
    <w:rsid w:val="00A50253"/>
    <w:rsid w:val="00A55537"/>
    <w:rsid w:val="00A562B2"/>
    <w:rsid w:val="00A70679"/>
    <w:rsid w:val="00A70BD6"/>
    <w:rsid w:val="00A70D83"/>
    <w:rsid w:val="00A7319F"/>
    <w:rsid w:val="00A95676"/>
    <w:rsid w:val="00AB58D7"/>
    <w:rsid w:val="00AC6637"/>
    <w:rsid w:val="00AC7830"/>
    <w:rsid w:val="00AC7E8D"/>
    <w:rsid w:val="00AD33A7"/>
    <w:rsid w:val="00B37FAD"/>
    <w:rsid w:val="00B44504"/>
    <w:rsid w:val="00B60CD2"/>
    <w:rsid w:val="00B61B23"/>
    <w:rsid w:val="00B65807"/>
    <w:rsid w:val="00B676AA"/>
    <w:rsid w:val="00B94188"/>
    <w:rsid w:val="00B946CD"/>
    <w:rsid w:val="00BA0728"/>
    <w:rsid w:val="00BA079B"/>
    <w:rsid w:val="00BA10F7"/>
    <w:rsid w:val="00BA1F4A"/>
    <w:rsid w:val="00BA5B37"/>
    <w:rsid w:val="00BA653A"/>
    <w:rsid w:val="00BA7127"/>
    <w:rsid w:val="00BB1209"/>
    <w:rsid w:val="00BC5CB7"/>
    <w:rsid w:val="00BC5EAB"/>
    <w:rsid w:val="00BE2333"/>
    <w:rsid w:val="00C04C7E"/>
    <w:rsid w:val="00C12ECC"/>
    <w:rsid w:val="00C136A3"/>
    <w:rsid w:val="00C23756"/>
    <w:rsid w:val="00C24996"/>
    <w:rsid w:val="00C36930"/>
    <w:rsid w:val="00C41D80"/>
    <w:rsid w:val="00C521DC"/>
    <w:rsid w:val="00C55358"/>
    <w:rsid w:val="00C564A5"/>
    <w:rsid w:val="00C56CA3"/>
    <w:rsid w:val="00C6283E"/>
    <w:rsid w:val="00C67C88"/>
    <w:rsid w:val="00C808C8"/>
    <w:rsid w:val="00C81C9C"/>
    <w:rsid w:val="00CB56B6"/>
    <w:rsid w:val="00CB7471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356CA"/>
    <w:rsid w:val="00D425B9"/>
    <w:rsid w:val="00D460F5"/>
    <w:rsid w:val="00D5073C"/>
    <w:rsid w:val="00D62A80"/>
    <w:rsid w:val="00D64F8D"/>
    <w:rsid w:val="00D77C2C"/>
    <w:rsid w:val="00D81F5E"/>
    <w:rsid w:val="00D90D7A"/>
    <w:rsid w:val="00D9685A"/>
    <w:rsid w:val="00DA129C"/>
    <w:rsid w:val="00DA569F"/>
    <w:rsid w:val="00DA6B5B"/>
    <w:rsid w:val="00DA6BE5"/>
    <w:rsid w:val="00DB19F4"/>
    <w:rsid w:val="00DB260B"/>
    <w:rsid w:val="00DC0AC1"/>
    <w:rsid w:val="00DC33BE"/>
    <w:rsid w:val="00DC45BA"/>
    <w:rsid w:val="00DC4B2D"/>
    <w:rsid w:val="00DD752F"/>
    <w:rsid w:val="00DF7C40"/>
    <w:rsid w:val="00E049FC"/>
    <w:rsid w:val="00E25337"/>
    <w:rsid w:val="00E315C0"/>
    <w:rsid w:val="00E34BE6"/>
    <w:rsid w:val="00E434A4"/>
    <w:rsid w:val="00E651D1"/>
    <w:rsid w:val="00E658B7"/>
    <w:rsid w:val="00E809C4"/>
    <w:rsid w:val="00E81C47"/>
    <w:rsid w:val="00E823F6"/>
    <w:rsid w:val="00E92890"/>
    <w:rsid w:val="00EA629D"/>
    <w:rsid w:val="00EB0871"/>
    <w:rsid w:val="00EE0CAF"/>
    <w:rsid w:val="00EE12BA"/>
    <w:rsid w:val="00EF2D0E"/>
    <w:rsid w:val="00EF40A5"/>
    <w:rsid w:val="00EF43C3"/>
    <w:rsid w:val="00F05240"/>
    <w:rsid w:val="00F134D1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74094"/>
    <w:rsid w:val="00F957F1"/>
    <w:rsid w:val="00FB1985"/>
    <w:rsid w:val="00FC3FAE"/>
    <w:rsid w:val="00FC4FFE"/>
    <w:rsid w:val="00FD1FA6"/>
    <w:rsid w:val="00FD4A96"/>
    <w:rsid w:val="00FD7A58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65A7"/>
  <w15:chartTrackingRefBased/>
  <w15:docId w15:val="{1B11FAD7-1955-4566-B324-F5AB033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customStyle="1" w:styleId="Style10">
    <w:name w:val="Style10"/>
    <w:basedOn w:val="Normln"/>
    <w:uiPriority w:val="99"/>
    <w:rsid w:val="00F134D1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eastAsiaTheme="minorEastAsia"/>
      <w:sz w:val="24"/>
      <w:szCs w:val="24"/>
      <w:lang w:eastAsia="cs-CZ"/>
    </w:rPr>
  </w:style>
  <w:style w:type="character" w:customStyle="1" w:styleId="FontStyle26">
    <w:name w:val="Font Style26"/>
    <w:basedOn w:val="Standardnpsmoodstavce"/>
    <w:uiPriority w:val="99"/>
    <w:rsid w:val="00F134D1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rsid w:val="00154A8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6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F3C"/>
    <w:rPr>
      <w:rFonts w:ascii="Times New Roman" w:eastAsia="Calibri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49A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49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1EE3E-0F62-478D-824D-2E466CFBBC18}"/>
</file>

<file path=customXml/itemProps2.xml><?xml version="1.0" encoding="utf-8"?>
<ds:datastoreItem xmlns:ds="http://schemas.openxmlformats.org/officeDocument/2006/customXml" ds:itemID="{F2AF112F-AB48-4DAD-B069-E5C9603A59AF}"/>
</file>

<file path=customXml/itemProps3.xml><?xml version="1.0" encoding="utf-8"?>
<ds:datastoreItem xmlns:ds="http://schemas.openxmlformats.org/officeDocument/2006/customXml" ds:itemID="{56AEC86E-3AB9-4204-A266-54611ABE8456}"/>
</file>

<file path=customXml/itemProps4.xml><?xml version="1.0" encoding="utf-8"?>
<ds:datastoreItem xmlns:ds="http://schemas.openxmlformats.org/officeDocument/2006/customXml" ds:itemID="{F70FCDAA-AD17-4DC3-A617-C6D702EBC7AD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9</Pages>
  <Words>3030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Hloušková Jitka</cp:lastModifiedBy>
  <cp:revision>2</cp:revision>
  <cp:lastPrinted>2022-01-20T07:44:00Z</cp:lastPrinted>
  <dcterms:created xsi:type="dcterms:W3CDTF">2022-02-01T07:08:00Z</dcterms:created>
  <dcterms:modified xsi:type="dcterms:W3CDTF">2022-02-01T07:08:00Z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1846600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