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F3488">
        <w:rPr>
          <w:rFonts w:ascii="Times New Roman" w:eastAsia="Times New Roman" w:hAnsi="Times New Roman" w:cs="Times New Roman"/>
          <w:b/>
          <w:smallCaps/>
          <w:sz w:val="28"/>
          <w:szCs w:val="28"/>
        </w:rPr>
        <w:t>PROGRAM PRO POSKYTOVÁNÍ DOTACÍ Z ROZPOČTU KARLOVARSKÉHO KRAJE</w:t>
      </w:r>
    </w:p>
    <w:p w:rsidR="00425D1A" w:rsidRPr="00940518" w:rsidRDefault="00425D1A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25D1A" w:rsidRPr="00940518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F3488">
        <w:rPr>
          <w:rFonts w:ascii="Times New Roman" w:eastAsia="Times New Roman" w:hAnsi="Times New Roman" w:cs="Times New Roman"/>
          <w:b/>
          <w:smallCaps/>
          <w:sz w:val="24"/>
          <w:szCs w:val="24"/>
        </w:rPr>
        <w:t>PODPORA LÁZEŇSKÝCH ZAŘÍZENÍ V KARLOVARSKÉM KRAJI – LÁZEŇSKÉ VOUCHERY</w:t>
      </w:r>
    </w:p>
    <w:p w:rsidR="00425D1A" w:rsidRPr="00940518" w:rsidRDefault="00425D1A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25D1A" w:rsidRPr="00940518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940518">
        <w:rPr>
          <w:rFonts w:ascii="Times New Roman" w:eastAsia="Times New Roman" w:hAnsi="Times New Roman" w:cs="Times New Roman"/>
          <w:sz w:val="24"/>
          <w:szCs w:val="24"/>
        </w:rPr>
        <w:t>(dále jen „dotační program“)</w:t>
      </w:r>
    </w:p>
    <w:p w:rsidR="00425D1A" w:rsidRPr="005F3488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Zastupitelstvo Karlovarského kraje (dále jen „zastupitelstvo kraje“) schvaluje a vyhlašuje shora uvedený dotační program a přijímá tato pravidla pro příjem a hodnocení žádostí, poskytnutí a finanční vypořádání dotace z rozpočtu Karlovarského kraje v rámci shora uvedeného dotačního programu.</w:t>
      </w:r>
    </w:p>
    <w:p w:rsidR="00425D1A" w:rsidRPr="005F3488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  <w:b/>
        </w:rPr>
        <w:t>Čl. I.</w:t>
      </w: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  <w:b/>
        </w:rPr>
        <w:t>Účel dotace</w:t>
      </w:r>
      <w:r w:rsidRPr="005F3488"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</w:p>
    <w:p w:rsidR="00425D1A" w:rsidRPr="00940518" w:rsidRDefault="00434F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 xml:space="preserve">Dotační program se zřizuje za účelem </w:t>
      </w:r>
      <w:r w:rsidRPr="005F3488">
        <w:rPr>
          <w:rFonts w:ascii="Times New Roman" w:eastAsia="Times New Roman" w:hAnsi="Times New Roman" w:cs="Times New Roman"/>
        </w:rPr>
        <w:t xml:space="preserve">posílení odvětví cestovního ruchu a lázeňství po pandemii </w:t>
      </w:r>
      <w:r w:rsidR="00CF6A5F" w:rsidRPr="005F3488">
        <w:rPr>
          <w:rFonts w:ascii="Times New Roman" w:eastAsia="Times New Roman" w:hAnsi="Times New Roman" w:cs="Times New Roman"/>
        </w:rPr>
        <w:t xml:space="preserve">onemocnění </w:t>
      </w:r>
      <w:r w:rsidRPr="005F3488">
        <w:rPr>
          <w:rFonts w:ascii="Times New Roman" w:eastAsia="Times New Roman" w:hAnsi="Times New Roman" w:cs="Times New Roman"/>
        </w:rPr>
        <w:t>COVID-19.</w:t>
      </w:r>
    </w:p>
    <w:p w:rsidR="00425D1A" w:rsidRPr="005F3488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  <w:b/>
        </w:rPr>
        <w:t>Čl. II.</w:t>
      </w: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  <w:b/>
        </w:rPr>
        <w:t>Důvody podpory stanoveného účelu</w:t>
      </w:r>
      <w:r w:rsidRPr="005F3488"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Důvodem vyhlášení dotačního programu je podpora lázeňských pobytů pro lázeňská zařízení</w:t>
      </w:r>
      <w:r w:rsidRPr="005F3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488">
        <w:rPr>
          <w:rFonts w:ascii="Times New Roman" w:eastAsia="Times New Roman" w:hAnsi="Times New Roman" w:cs="Times New Roman"/>
        </w:rPr>
        <w:t>v Karlovarském kraji registrovaná na portále kudyznudy.cz</w:t>
      </w:r>
      <w:r w:rsidR="00CF6A5F" w:rsidRPr="005F3488">
        <w:rPr>
          <w:rFonts w:ascii="Times New Roman" w:eastAsia="Times New Roman" w:hAnsi="Times New Roman" w:cs="Times New Roman"/>
        </w:rPr>
        <w:t xml:space="preserve"> ve formě kompenzace slevy poskytované lázeňskými zařízeními lázeňským hostům</w:t>
      </w:r>
      <w:r w:rsidRPr="005F3488">
        <w:rPr>
          <w:rFonts w:ascii="Times New Roman" w:eastAsia="Times New Roman" w:hAnsi="Times New Roman" w:cs="Times New Roman"/>
        </w:rPr>
        <w:t>.</w:t>
      </w:r>
    </w:p>
    <w:p w:rsidR="00425D1A" w:rsidRPr="005F3488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  <w:b/>
        </w:rPr>
        <w:t>Čl. III.</w:t>
      </w:r>
    </w:p>
    <w:p w:rsidR="00425D1A" w:rsidRPr="005F3488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  <w:b/>
        </w:rPr>
        <w:t>Předpokládaný celkový objem peněžních prostředků vyčleněných na podporu stanoveného účelu</w:t>
      </w:r>
      <w:r w:rsidRPr="005F3488">
        <w:rPr>
          <w:rFonts w:ascii="Times New Roman" w:eastAsia="Times New Roman" w:hAnsi="Times New Roman" w:cs="Times New Roman"/>
          <w:b/>
          <w:vertAlign w:val="superscript"/>
        </w:rPr>
        <w:footnoteReference w:id="3"/>
      </w:r>
    </w:p>
    <w:p w:rsidR="00425D1A" w:rsidRPr="005F3488" w:rsidRDefault="00434F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 xml:space="preserve">Pro dotační program je vyčleněna částka 10 000 000 Kč z rozpočtu Karlovarského kraje pro rok 2022. </w:t>
      </w:r>
    </w:p>
    <w:p w:rsidR="00425D1A" w:rsidRPr="005F3488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40518">
        <w:rPr>
          <w:rFonts w:ascii="Times New Roman" w:eastAsia="Times New Roman" w:hAnsi="Times New Roman" w:cs="Times New Roman"/>
          <w:b/>
        </w:rPr>
        <w:t>Čl. IV.</w:t>
      </w:r>
    </w:p>
    <w:p w:rsidR="00425D1A" w:rsidRPr="00940518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40518">
        <w:rPr>
          <w:rFonts w:ascii="Times New Roman" w:eastAsia="Times New Roman" w:hAnsi="Times New Roman" w:cs="Times New Roman"/>
          <w:b/>
        </w:rPr>
        <w:t>Kritéria pro stanovení výše dotace</w:t>
      </w:r>
      <w:r w:rsidRPr="00940518">
        <w:rPr>
          <w:rFonts w:ascii="Times New Roman" w:eastAsia="Times New Roman" w:hAnsi="Times New Roman" w:cs="Times New Roman"/>
          <w:b/>
          <w:vertAlign w:val="superscript"/>
        </w:rPr>
        <w:t>4</w:t>
      </w:r>
    </w:p>
    <w:p w:rsidR="00425D1A" w:rsidRPr="005F3488" w:rsidRDefault="00434F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Výše dotace bude stanovena po doložení přehledu uplatněných lázeňských voucherů</w:t>
      </w:r>
      <w:r w:rsidR="00CF6A5F" w:rsidRPr="005F3488">
        <w:rPr>
          <w:rFonts w:ascii="Times New Roman" w:eastAsia="Times New Roman" w:hAnsi="Times New Roman" w:cs="Times New Roman"/>
        </w:rPr>
        <w:t xml:space="preserve"> tak,</w:t>
      </w:r>
      <w:r w:rsidRPr="005F3488">
        <w:rPr>
          <w:rFonts w:ascii="Times New Roman" w:eastAsia="Times New Roman" w:hAnsi="Times New Roman" w:cs="Times New Roman"/>
        </w:rPr>
        <w:t xml:space="preserve"> že na každý uplatněný lázeňský voucher </w:t>
      </w:r>
      <w:r w:rsidR="00BB639E">
        <w:rPr>
          <w:rFonts w:ascii="Times New Roman" w:eastAsia="Times New Roman" w:hAnsi="Times New Roman" w:cs="Times New Roman"/>
        </w:rPr>
        <w:t xml:space="preserve">uplatněný hostem </w:t>
      </w:r>
      <w:r w:rsidRPr="005F3488">
        <w:rPr>
          <w:rFonts w:ascii="Times New Roman" w:eastAsia="Times New Roman" w:hAnsi="Times New Roman" w:cs="Times New Roman"/>
        </w:rPr>
        <w:t xml:space="preserve">poskytne Karlovarský kraj </w:t>
      </w:r>
      <w:r w:rsidR="00BB639E">
        <w:rPr>
          <w:rFonts w:ascii="Times New Roman" w:eastAsia="Times New Roman" w:hAnsi="Times New Roman" w:cs="Times New Roman"/>
        </w:rPr>
        <w:t xml:space="preserve">lázeňskému zařízení </w:t>
      </w:r>
      <w:r w:rsidRPr="005F3488">
        <w:rPr>
          <w:rFonts w:ascii="Times New Roman" w:eastAsia="Times New Roman" w:hAnsi="Times New Roman" w:cs="Times New Roman"/>
        </w:rPr>
        <w:t xml:space="preserve">1 000 Kč. </w:t>
      </w:r>
      <w:r w:rsidR="00CF6A5F" w:rsidRPr="005F3488">
        <w:rPr>
          <w:rFonts w:ascii="Times New Roman" w:eastAsia="Times New Roman" w:hAnsi="Times New Roman" w:cs="Times New Roman"/>
        </w:rPr>
        <w:t>V případě vyčerpání vyčleněných finančních prostředků</w:t>
      </w:r>
      <w:r w:rsidRPr="005F3488">
        <w:rPr>
          <w:rFonts w:ascii="Times New Roman" w:eastAsia="Times New Roman" w:hAnsi="Times New Roman" w:cs="Times New Roman"/>
        </w:rPr>
        <w:t xml:space="preserve"> bude dotace pokrácena všem žadatelům stejným poměrem.</w:t>
      </w:r>
    </w:p>
    <w:p w:rsidR="00425D1A" w:rsidRPr="005F3488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5F3488" w:rsidRDefault="00434F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Žadatel může podat maximálně 1 žádost v rámci dotačního programu.</w:t>
      </w: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V.</w:t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Okruh způsobilých žadatelů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4"/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Žadatelem o dotaci může být:</w:t>
      </w:r>
    </w:p>
    <w:p w:rsidR="00425D1A" w:rsidRPr="005F3488" w:rsidRDefault="00434F7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lázeňské zařízení v Karlovarském kraji registrované na portále kudyznudy.cz</w:t>
      </w:r>
      <w:r w:rsidR="00BB639E">
        <w:rPr>
          <w:rFonts w:ascii="Times New Roman" w:eastAsia="Times New Roman" w:hAnsi="Times New Roman" w:cs="Times New Roman"/>
        </w:rPr>
        <w:t>, které poskytuje lázeňský voucher na 2 000 Kč</w:t>
      </w:r>
      <w:r w:rsidRPr="005F3488">
        <w:rPr>
          <w:rFonts w:ascii="Times New Roman" w:eastAsia="Times New Roman" w:hAnsi="Times New Roman" w:cs="Times New Roman"/>
        </w:rPr>
        <w:t>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VI.</w:t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Podmínky a lhůta pro podání žádosti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5"/>
      </w:r>
    </w:p>
    <w:p w:rsidR="00425D1A" w:rsidRDefault="00434F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Žadatel musí vyplnit a odeslat elektronickou žádost v dotačním portálu Karlovarského kraje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https://dotace.kr-karlovarsky.cz/gordic/ginis/app/RAP05/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Lhůta pro podávání (příjem) elektronických žádostí se stanovuje na </w:t>
      </w:r>
      <w:sdt>
        <w:sdtPr>
          <w:tag w:val="goog_rdk_0"/>
          <w:id w:val="-41907009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dobu:</w:t>
      </w:r>
    </w:p>
    <w:p w:rsidR="00425D1A" w:rsidRPr="005F3488" w:rsidRDefault="00434F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 xml:space="preserve">od 12. 4. 2022 od 9.00 </w:t>
      </w:r>
      <w:sdt>
        <w:sdtPr>
          <w:tag w:val="goog_rdk_1"/>
          <w:id w:val="-1125616006"/>
        </w:sdtPr>
        <w:sdtEndPr/>
        <w:sdtContent/>
      </w:sdt>
      <w:r w:rsidRPr="005F3488">
        <w:rPr>
          <w:rFonts w:ascii="Times New Roman" w:eastAsia="Times New Roman" w:hAnsi="Times New Roman" w:cs="Times New Roman"/>
        </w:rPr>
        <w:t>hod.</w:t>
      </w:r>
    </w:p>
    <w:p w:rsidR="00425D1A" w:rsidRPr="005F3488" w:rsidRDefault="00434F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do 20. 4. 2022 do 16.00 hod.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Žadateli bude umožněno vyplnění a uložení žádosti v dotačním portálu Karlovarského kraje nejdříve 10 pracovních dnů před výše uvedenou lhůtou pro podávání elektronických žádostí. Do doby zahájení příjmu elektronických žádostí nebude žadateli umožněno vyplněnou a uloženou žádost odeslat.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případě závažných technických obtíží při příjmu elektronických žádostí si poskytovatel vyhrazuje právo pozastavit či zcela zastavit jejich příjem. V takovém případě může poskytovatel dokončit přijímání žádostí v listinné podobě. O aktuální situaci bude poskytovatel vždy informovat na svém portálu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http://www.kr-karlovarsky.cz/dotace/Stranky/Prehled-dotace.aspx</w:t>
        </w:r>
      </w:hyperlink>
      <w:r>
        <w:rPr>
          <w:rFonts w:ascii="Times New Roman" w:eastAsia="Times New Roman" w:hAnsi="Times New Roman" w:cs="Times New Roman"/>
        </w:rPr>
        <w:t xml:space="preserve"> a na informačním portálu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http://programy.kr-karlovarsky.cz</w:t>
        </w:r>
      </w:hyperlink>
      <w:r>
        <w:rPr>
          <w:rFonts w:ascii="Times New Roman" w:eastAsia="Times New Roman" w:hAnsi="Times New Roman" w:cs="Times New Roman"/>
        </w:rPr>
        <w:t>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Žadatel může k elektronické žádosti v dotačním portálu Karlovarského kraje připojit </w:t>
      </w:r>
      <w:r>
        <w:rPr>
          <w:rFonts w:ascii="Times New Roman" w:eastAsia="Times New Roman" w:hAnsi="Times New Roman" w:cs="Times New Roman"/>
          <w:b/>
        </w:rPr>
        <w:t>uznávaný elektronický podpis</w:t>
      </w:r>
      <w:r>
        <w:rPr>
          <w:rFonts w:ascii="Times New Roman" w:eastAsia="Times New Roman" w:hAnsi="Times New Roman" w:cs="Times New Roman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</w:rPr>
        <w:t>. Uznávaným elektronickým podpisem</w:t>
      </w:r>
      <w:r>
        <w:rPr>
          <w:rFonts w:ascii="Times New Roman" w:eastAsia="Times New Roman" w:hAnsi="Times New Roman" w:cs="Times New Roman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</w:rPr>
        <w:t xml:space="preserve"> se rozumí </w:t>
      </w:r>
      <w:r>
        <w:rPr>
          <w:rFonts w:ascii="Times New Roman" w:eastAsia="Times New Roman" w:hAnsi="Times New Roman" w:cs="Times New Roman"/>
          <w:b/>
        </w:rPr>
        <w:t>zaručený elektronický podpis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</w:rPr>
        <w:t xml:space="preserve"> založený na kvalifikovaném certifikátu pro elektronické podpisy nebo </w:t>
      </w:r>
      <w:r>
        <w:rPr>
          <w:rFonts w:ascii="Times New Roman" w:eastAsia="Times New Roman" w:hAnsi="Times New Roman" w:cs="Times New Roman"/>
          <w:b/>
        </w:rPr>
        <w:t>kvalifikovaný elektronický podpis</w:t>
      </w:r>
      <w:r>
        <w:rPr>
          <w:rFonts w:ascii="Times New Roman" w:eastAsia="Times New Roman" w:hAnsi="Times New Roman" w:cs="Times New Roman"/>
          <w:b/>
          <w:vertAlign w:val="superscript"/>
        </w:rPr>
        <w:t>9</w:t>
      </w:r>
      <w:r>
        <w:rPr>
          <w:rFonts w:ascii="Times New Roman" w:eastAsia="Times New Roman" w:hAnsi="Times New Roman" w:cs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Žadatelé, kteří se do dotačního portálu Karlovarského kraje přihlásí prostřednictvím portálu národního bodu pro identifikaci a autentizaci (tzv. Identita občana), mohou využít tzv. fikci podpisu, tj. nemusí k elektronické žádosti v dotačním portálu Karlovarského kraje připojovat uznávaný elektronický podpis.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Podmínku doručení žádosti opatřené vlastnoručním podpisem žadatele a všech příloh v listinné podobě splní žadatel také tím, že prostřednictvím informačního systému datových schránek (ISDS) odešle do datové schránky Karlovarského kraje </w:t>
      </w:r>
      <w:r>
        <w:rPr>
          <w:rFonts w:ascii="Times New Roman" w:eastAsia="Times New Roman" w:hAnsi="Times New Roman" w:cs="Times New Roman"/>
          <w:b/>
          <w:color w:val="000000"/>
        </w:rPr>
        <w:t>siqbxt2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25D1A" w:rsidRDefault="00434F7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žádost z dotačního portálu Karlovarského kraje</w:t>
      </w:r>
    </w:p>
    <w:p w:rsidR="00425D1A" w:rsidRDefault="00434F7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přílohy k žádosti.</w:t>
      </w: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425D1A" w:rsidRPr="005F3488" w:rsidRDefault="00434F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 xml:space="preserve">Žadatelé, kteří jsou </w:t>
      </w:r>
      <w:sdt>
        <w:sdtPr>
          <w:tag w:val="goog_rdk_2"/>
          <w:id w:val="-226381110"/>
        </w:sdtPr>
        <w:sdtEndPr/>
        <w:sdtContent/>
      </w:sdt>
      <w:r w:rsidRPr="005F3488">
        <w:rPr>
          <w:rFonts w:ascii="Times New Roman" w:eastAsia="Times New Roman" w:hAnsi="Times New Roman" w:cs="Times New Roman"/>
        </w:rPr>
        <w:t>právnické osoby, a kteří jednají pouze jednou osobou, mohou využít tzv. fikci podpisu, tj. nemusí v datové schránce k žádosti z dotačního portálu Karlovarského kraje připojovat uznávaný elektronický podpis. Fikce podpisu neplatí pro orgány veřejné moci a žadatele, kteří jednají dvěma či více osobami.</w:t>
      </w:r>
    </w:p>
    <w:p w:rsidR="00425D1A" w:rsidRDefault="00425D1A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Žadatelé, kteří:</w:t>
      </w:r>
    </w:p>
    <w:p w:rsidR="00425D1A" w:rsidRDefault="00434F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nepřipojí k elektronické žádosti v dotačním portálu Karlovarského kraje uznávaný elektronický podpis nebo</w:t>
      </w:r>
    </w:p>
    <w:p w:rsidR="00425D1A" w:rsidRDefault="00434F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neodešlou elektronickou žádost z dotačního portálu Karlovarského kraje prostřednictvím informačního systému datových schránek nebo</w:t>
      </w:r>
    </w:p>
    <w:p w:rsidR="00425D1A" w:rsidRDefault="00434F7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se nepřihlásí do dotačního portálu Karlovarského kraje prostřednictvím národního bodu pro identifikaci a autentizaci (tzv. Identita občana),</w:t>
      </w: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musí:</w:t>
      </w: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425D1A" w:rsidRDefault="00434F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odeslanou elektronickou žádost v dotačním portálu Karlovarského kraje vytisknout a opatřit jí vlastnoručním podpisem</w:t>
      </w:r>
    </w:p>
    <w:p w:rsidR="00425D1A" w:rsidRPr="005F3488" w:rsidRDefault="00434F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k vytištěné žádosti připojit všechny elektronicky neodeslané přílohy</w:t>
      </w:r>
    </w:p>
    <w:p w:rsidR="00425D1A" w:rsidRPr="005F3488" w:rsidRDefault="00434F7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listinnou žádost s případnými přílohami doručit ve lhůtě nejpozději do 10 pracovních dnů po ukončení příjmu elektronických žádostí nebo odeslání elektronické žádosti, tj. do 4. 5. 2022</w:t>
      </w:r>
      <w:r w:rsidR="002A3707">
        <w:rPr>
          <w:rFonts w:ascii="Times New Roman" w:eastAsia="Times New Roman" w:hAnsi="Times New Roman" w:cs="Times New Roman"/>
        </w:rPr>
        <w:t>.</w:t>
      </w:r>
    </w:p>
    <w:p w:rsidR="00425D1A" w:rsidRPr="00940518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>na podatelnu Karlovarského kraje na adresu:</w:t>
      </w:r>
    </w:p>
    <w:p w:rsidR="00425D1A" w:rsidRPr="00940518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</w:rPr>
      </w:pPr>
      <w:r w:rsidRPr="00940518">
        <w:rPr>
          <w:rFonts w:ascii="Times New Roman" w:eastAsia="Times New Roman" w:hAnsi="Times New Roman" w:cs="Times New Roman"/>
          <w:b/>
        </w:rPr>
        <w:t>Karlovarský kraj, Závodní 353/88, 360 06 Karlovy Vary</w:t>
      </w:r>
      <w:r w:rsidRPr="00940518">
        <w:rPr>
          <w:rFonts w:ascii="Times New Roman" w:eastAsia="Times New Roman" w:hAnsi="Times New Roman" w:cs="Times New Roman"/>
        </w:rPr>
        <w:t>,</w:t>
      </w:r>
    </w:p>
    <w:p w:rsidR="00425D1A" w:rsidRPr="00940518" w:rsidRDefault="00425D1A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>Pro určení doby podání žádosti je rozhodující datum doručení žádosti na podatelnu Karlovarského kraje, nikoliv datum podání u doručovací služby.</w:t>
      </w:r>
    </w:p>
    <w:p w:rsidR="00425D1A" w:rsidRPr="00940518" w:rsidRDefault="00425D1A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5F3488" w:rsidRDefault="00434F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Povinnými přílohami k žádosti jsou:</w:t>
      </w:r>
    </w:p>
    <w:p w:rsidR="00425D1A" w:rsidRPr="005F3488" w:rsidRDefault="00434F7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doklad o vlastnictví bankovního účtu žadatele</w:t>
      </w:r>
    </w:p>
    <w:p w:rsidR="00425D1A" w:rsidRPr="005F3488" w:rsidRDefault="00434F7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plná moc v případě zastoupení žadatele na základě plné moci</w:t>
      </w:r>
    </w:p>
    <w:p w:rsidR="00425D1A" w:rsidRPr="005F3488" w:rsidRDefault="00434F7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úplný výpis z Evidence skutečných majitelů</w:t>
      </w:r>
      <w:r w:rsidRPr="005F3488">
        <w:rPr>
          <w:rFonts w:ascii="Times New Roman" w:eastAsia="Times New Roman" w:hAnsi="Times New Roman" w:cs="Times New Roman"/>
          <w:vertAlign w:val="superscript"/>
        </w:rPr>
        <w:footnoteReference w:id="9"/>
      </w:r>
      <w:r w:rsidRPr="005F3488">
        <w:rPr>
          <w:rFonts w:ascii="Times New Roman" w:eastAsia="Times New Roman" w:hAnsi="Times New Roman" w:cs="Times New Roman"/>
        </w:rPr>
        <w:t>, je-li žadatel právnickou osobou</w:t>
      </w:r>
    </w:p>
    <w:p w:rsidR="00425D1A" w:rsidRPr="005F3488" w:rsidRDefault="00434F7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přehled vygenerovaných a uplatněných lázeňských voucherů ve formátu .</w:t>
      </w:r>
      <w:proofErr w:type="spellStart"/>
      <w:r w:rsidRPr="005F3488">
        <w:rPr>
          <w:rFonts w:ascii="Times New Roman" w:eastAsia="Times New Roman" w:hAnsi="Times New Roman" w:cs="Times New Roman"/>
        </w:rPr>
        <w:t>xls</w:t>
      </w:r>
      <w:proofErr w:type="spellEnd"/>
      <w:r w:rsidRPr="005F3488">
        <w:rPr>
          <w:rFonts w:ascii="Times New Roman" w:eastAsia="Times New Roman" w:hAnsi="Times New Roman" w:cs="Times New Roman"/>
        </w:rPr>
        <w:t xml:space="preserve"> (na přehledu bude uvedeno číslo voucheru a jméno a příjmení osoby, která voucher </w:t>
      </w:r>
      <w:sdt>
        <w:sdtPr>
          <w:tag w:val="goog_rdk_3"/>
          <w:id w:val="152507137"/>
        </w:sdtPr>
        <w:sdtEndPr/>
        <w:sdtContent/>
      </w:sdt>
      <w:r w:rsidRPr="005F3488">
        <w:rPr>
          <w:rFonts w:ascii="Times New Roman" w:eastAsia="Times New Roman" w:hAnsi="Times New Roman" w:cs="Times New Roman"/>
        </w:rPr>
        <w:t>uplatnila)</w:t>
      </w:r>
    </w:p>
    <w:p w:rsidR="00425D1A" w:rsidRPr="00940518" w:rsidRDefault="00434F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doklady jednoznačně prokazující poskytnutí slevy a datum lázeňského pobytu (např. kopie daňových dokladů, dobropis)</w:t>
      </w:r>
    </w:p>
    <w:p w:rsidR="00425D1A" w:rsidRPr="005F3488" w:rsidRDefault="00434F7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5F3488">
        <w:rPr>
          <w:rFonts w:ascii="Times New Roman" w:eastAsia="Times New Roman" w:hAnsi="Times New Roman" w:cs="Times New Roman"/>
        </w:rPr>
        <w:t>čestné prohlášení žadatele o podporu v režimu de </w:t>
      </w:r>
      <w:proofErr w:type="spellStart"/>
      <w:r w:rsidRPr="005F3488">
        <w:rPr>
          <w:rFonts w:ascii="Times New Roman" w:eastAsia="Times New Roman" w:hAnsi="Times New Roman" w:cs="Times New Roman"/>
        </w:rPr>
        <w:t>minimis</w:t>
      </w:r>
      <w:proofErr w:type="spellEnd"/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VII.</w:t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Lhůta pro rozhodnutí o žádosti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10"/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Lhůta pro rozhodnutí o žádosti se stanovuje na 120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sdt>
        <w:sdtPr>
          <w:tag w:val="goog_rdk_4"/>
          <w:id w:val="-1045519472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</w:rPr>
        <w:t>pracovních dnů ode dne přijetí elektronické žádosti v informačním systému Karlovarského kraje.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VIII.</w:t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Kritéria pro hodnocení žádosti, vyhodnocení žádosti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11"/>
      </w:r>
    </w:p>
    <w:p w:rsidR="00425D1A" w:rsidRDefault="00434F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 dotace vyhodnotí všechny došlé žádosti z hlediska jejich úplnosti a správnosti.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případě, že žádost obsahuje vady nebo je žádost neúplná, poskytovatel dotace vyzve žadatele (telefonicky a následně elektronickou poštou), aby vady odstranil nebo žádost doplnil, a to nejpozději ve lhůtě do 10 pracovních dnů ode dne odeslání výzvy elektronickou poštou k odstranění vad nebo doplnění žádosti.</w:t>
      </w: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Neúplná žádost je žádost, která i po provedené výzvě k doplnění po uplynutí lhůty pro doplnění neobsahuje všechny povinné přílohy. Žádost s vadami je žádost, která obsahuje vady i po provedené </w:t>
      </w:r>
      <w:r>
        <w:rPr>
          <w:rFonts w:ascii="Times New Roman" w:eastAsia="Times New Roman" w:hAnsi="Times New Roman" w:cs="Times New Roman"/>
        </w:rPr>
        <w:lastRenderedPageBreak/>
        <w:t>výzvě k odstranění vad po uplynutí lhůty pro odstranění vad. U neúplných žádostí a žádostí s vadami bude podán návrh na neposkytnutí dotace.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Čl. IX.</w:t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Podmínky pro poskytnutí dotace, předmět dotace, poskytnutí dotace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12"/>
      </w:r>
    </w:p>
    <w:p w:rsidR="00425D1A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Dotace poskytované v rámci tohoto programu jsou určené výlučně k naplnění shora uvedeného </w:t>
      </w:r>
      <w:r w:rsidRPr="00940518">
        <w:rPr>
          <w:rFonts w:ascii="Times New Roman" w:eastAsia="Times New Roman" w:hAnsi="Times New Roman" w:cs="Times New Roman"/>
        </w:rPr>
        <w:t xml:space="preserve">účelu (tj. jsou účelově určeny) a lze je použít výlučně na </w:t>
      </w:r>
      <w:r w:rsidRPr="00A02FA6">
        <w:rPr>
          <w:rFonts w:ascii="Times New Roman" w:eastAsia="Times New Roman" w:hAnsi="Times New Roman" w:cs="Times New Roman"/>
        </w:rPr>
        <w:t>neinvestiční</w:t>
      </w:r>
      <w:r w:rsidRPr="00940518">
        <w:rPr>
          <w:rFonts w:ascii="Times New Roman" w:eastAsia="Times New Roman" w:hAnsi="Times New Roman" w:cs="Times New Roman"/>
        </w:rPr>
        <w:t xml:space="preserve"> výdaje a </w:t>
      </w:r>
      <w:r w:rsidRPr="00A02FA6">
        <w:rPr>
          <w:rFonts w:ascii="Times New Roman" w:eastAsia="Times New Roman" w:hAnsi="Times New Roman" w:cs="Times New Roman"/>
        </w:rPr>
        <w:t>nepodléhají</w:t>
      </w:r>
      <w:r w:rsidRPr="009405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finančnímu vypořádání.</w:t>
      </w: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25D1A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Poskytovatel dotace poskytne dotaci jen těm žadatelům, jejichž žádosti jsou úplné a bez vad a byly podány ve lhůtě stanovené pro příjem žádostí a kteří splnili všechny další podmínky pro poskytnutí dotace specifikované dále v tomto článku.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Dotaci lze použít výhradně na </w:t>
      </w:r>
      <w:r w:rsidR="00195387">
        <w:rPr>
          <w:rFonts w:ascii="Times New Roman" w:eastAsia="Times New Roman" w:hAnsi="Times New Roman" w:cs="Times New Roman"/>
          <w:b/>
        </w:rPr>
        <w:t>kompenzaci slevy</w:t>
      </w:r>
      <w:r w:rsidR="00A02FA6">
        <w:rPr>
          <w:rFonts w:ascii="Times New Roman" w:eastAsia="Times New Roman" w:hAnsi="Times New Roman" w:cs="Times New Roman"/>
          <w:b/>
        </w:rPr>
        <w:t xml:space="preserve"> ve výši 2 000 Kč</w:t>
      </w:r>
      <w:r w:rsidR="00195387">
        <w:rPr>
          <w:rFonts w:ascii="Times New Roman" w:eastAsia="Times New Roman" w:hAnsi="Times New Roman" w:cs="Times New Roman"/>
          <w:b/>
        </w:rPr>
        <w:t xml:space="preserve"> poskytnuté lázeňskými zařízeními</w:t>
      </w:r>
      <w:r w:rsidR="00A02FA6">
        <w:rPr>
          <w:rFonts w:ascii="Times New Roman" w:eastAsia="Times New Roman" w:hAnsi="Times New Roman" w:cs="Times New Roman"/>
          <w:b/>
        </w:rPr>
        <w:t>, registrovaných na portále kudyznudy.cz,</w:t>
      </w:r>
      <w:r w:rsidR="00195387">
        <w:rPr>
          <w:rFonts w:ascii="Times New Roman" w:eastAsia="Times New Roman" w:hAnsi="Times New Roman" w:cs="Times New Roman"/>
          <w:b/>
        </w:rPr>
        <w:t xml:space="preserve"> na základě u</w:t>
      </w:r>
      <w:r>
        <w:rPr>
          <w:rFonts w:ascii="Times New Roman" w:eastAsia="Times New Roman" w:hAnsi="Times New Roman" w:cs="Times New Roman"/>
          <w:b/>
        </w:rPr>
        <w:t>platněn</w:t>
      </w:r>
      <w:r w:rsidR="00A02FA6">
        <w:rPr>
          <w:rFonts w:ascii="Times New Roman" w:eastAsia="Times New Roman" w:hAnsi="Times New Roman" w:cs="Times New Roman"/>
          <w:b/>
        </w:rPr>
        <w:t>ých</w:t>
      </w:r>
      <w:r>
        <w:rPr>
          <w:rFonts w:ascii="Times New Roman" w:eastAsia="Times New Roman" w:hAnsi="Times New Roman" w:cs="Times New Roman"/>
          <w:b/>
        </w:rPr>
        <w:t xml:space="preserve"> lázeňsk</w:t>
      </w:r>
      <w:r w:rsidR="00195387">
        <w:rPr>
          <w:rFonts w:ascii="Times New Roman" w:eastAsia="Times New Roman" w:hAnsi="Times New Roman" w:cs="Times New Roman"/>
          <w:b/>
        </w:rPr>
        <w:t>ých</w:t>
      </w:r>
      <w:r>
        <w:rPr>
          <w:rFonts w:ascii="Times New Roman" w:eastAsia="Times New Roman" w:hAnsi="Times New Roman" w:cs="Times New Roman"/>
          <w:b/>
        </w:rPr>
        <w:t xml:space="preserve"> voucher</w:t>
      </w:r>
      <w:r w:rsidR="00195387">
        <w:rPr>
          <w:rFonts w:ascii="Times New Roman" w:eastAsia="Times New Roman" w:hAnsi="Times New Roman" w:cs="Times New Roman"/>
          <w:b/>
        </w:rPr>
        <w:t>ů</w:t>
      </w:r>
      <w:r w:rsidR="00A02FA6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Na každý takto uplatněný voucher bude lázeňskému zařízení poskytnuta dotace ve výši 1 000 Kč.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DPH je uznatelným výdajem, pokud příjemce dotace (dále jen „příjemce“):</w:t>
      </w:r>
    </w:p>
    <w:p w:rsidR="00425D1A" w:rsidRDefault="00434F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není plátcem DPH</w:t>
      </w:r>
    </w:p>
    <w:p w:rsidR="00425D1A" w:rsidRDefault="00434F7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 plátcem DPH, ale dle zákona číslo 235/2004 Sb., o dani z přidané hodnoty, ve znění pozdějších předpisů nemá nárok na odpočet daně na vstupu.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Dotace se neposkytuje na jiné než uznatelné výdaje uvedené v tomto dotačním programu.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 xml:space="preserve">Dotace se poskytuje na realizaci </w:t>
      </w:r>
      <w:r w:rsidRPr="00A02FA6">
        <w:rPr>
          <w:rFonts w:ascii="Times New Roman" w:eastAsia="Times New Roman" w:hAnsi="Times New Roman" w:cs="Times New Roman"/>
        </w:rPr>
        <w:t xml:space="preserve">akce (pobytu), </w:t>
      </w:r>
      <w:r w:rsidRPr="00940518">
        <w:rPr>
          <w:rFonts w:ascii="Times New Roman" w:eastAsia="Times New Roman" w:hAnsi="Times New Roman" w:cs="Times New Roman"/>
        </w:rPr>
        <w:t xml:space="preserve">od </w:t>
      </w:r>
      <w:r w:rsidRPr="00A02FA6">
        <w:rPr>
          <w:rFonts w:ascii="Times New Roman" w:eastAsia="Times New Roman" w:hAnsi="Times New Roman" w:cs="Times New Roman"/>
        </w:rPr>
        <w:t>1. 1. 2022</w:t>
      </w:r>
      <w:r w:rsidRPr="00940518">
        <w:rPr>
          <w:rFonts w:ascii="Times New Roman" w:eastAsia="Times New Roman" w:hAnsi="Times New Roman" w:cs="Times New Roman"/>
        </w:rPr>
        <w:t xml:space="preserve"> do </w:t>
      </w:r>
      <w:r w:rsidRPr="00A02FA6">
        <w:rPr>
          <w:rFonts w:ascii="Times New Roman" w:eastAsia="Times New Roman" w:hAnsi="Times New Roman" w:cs="Times New Roman"/>
        </w:rPr>
        <w:t>31. 3. 2022</w:t>
      </w:r>
      <w:r w:rsidRPr="00940518">
        <w:rPr>
          <w:rFonts w:ascii="Times New Roman" w:eastAsia="Times New Roman" w:hAnsi="Times New Roman" w:cs="Times New Roman"/>
        </w:rPr>
        <w:t xml:space="preserve">. Doklady o realizaci </w:t>
      </w:r>
      <w:r w:rsidRPr="00A02FA6">
        <w:rPr>
          <w:rFonts w:ascii="Times New Roman" w:eastAsia="Times New Roman" w:hAnsi="Times New Roman" w:cs="Times New Roman"/>
        </w:rPr>
        <w:t>akce (pobytu)</w:t>
      </w:r>
      <w:r w:rsidRPr="00940518">
        <w:rPr>
          <w:rFonts w:ascii="Times New Roman" w:eastAsia="Times New Roman" w:hAnsi="Times New Roman" w:cs="Times New Roman"/>
        </w:rPr>
        <w:t xml:space="preserve"> musí mít datum uskutečnění zdanitelného plnění od </w:t>
      </w:r>
      <w:r w:rsidRPr="00A02FA6">
        <w:rPr>
          <w:rFonts w:ascii="Times New Roman" w:eastAsia="Times New Roman" w:hAnsi="Times New Roman" w:cs="Times New Roman"/>
        </w:rPr>
        <w:t>1. 1. 2022</w:t>
      </w:r>
      <w:r w:rsidRPr="00940518">
        <w:rPr>
          <w:rFonts w:ascii="Times New Roman" w:eastAsia="Times New Roman" w:hAnsi="Times New Roman" w:cs="Times New Roman"/>
        </w:rPr>
        <w:t xml:space="preserve"> do 31</w:t>
      </w:r>
      <w:r w:rsidRPr="00A02FA6">
        <w:rPr>
          <w:rFonts w:ascii="Times New Roman" w:eastAsia="Times New Roman" w:hAnsi="Times New Roman" w:cs="Times New Roman"/>
        </w:rPr>
        <w:t>. 3. 2022</w:t>
      </w:r>
      <w:r w:rsidRPr="00940518">
        <w:rPr>
          <w:rFonts w:ascii="Times New Roman" w:eastAsia="Times New Roman" w:hAnsi="Times New Roman" w:cs="Times New Roman"/>
        </w:rPr>
        <w:t xml:space="preserve"> a musí být uhrazeny nejpozději do </w:t>
      </w:r>
      <w:r w:rsidRPr="00A02FA6">
        <w:rPr>
          <w:rFonts w:ascii="Times New Roman" w:eastAsia="Times New Roman" w:hAnsi="Times New Roman" w:cs="Times New Roman"/>
        </w:rPr>
        <w:t>31. 3. 2022</w:t>
      </w:r>
      <w:r w:rsidRPr="00940518">
        <w:rPr>
          <w:rFonts w:ascii="Times New Roman" w:eastAsia="Times New Roman" w:hAnsi="Times New Roman" w:cs="Times New Roman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:rsidR="00425D1A" w:rsidRPr="00940518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>Podmínkou pro poskytnutí dotace (převedení prostředků na účet žadatele) je vyrovnání veškerých splatných dluhů žadatele vůči poskytovateli dotace.</w:t>
      </w:r>
    </w:p>
    <w:p w:rsidR="00425D1A" w:rsidRPr="00940518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>Žadatel musí splnit dále uvedené podmínky pro poskytnutí dotace v rámci shora uvedeného dotačního programu:</w:t>
      </w:r>
    </w:p>
    <w:p w:rsidR="00425D1A" w:rsidRPr="00940518" w:rsidRDefault="00434F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2FA6">
        <w:rPr>
          <w:rFonts w:ascii="Times New Roman" w:eastAsia="Times New Roman" w:hAnsi="Times New Roman" w:cs="Times New Roman"/>
        </w:rPr>
        <w:t>lázeňské zařízení, které žadatel provozuje, musí být zaregistrováno na portále kudyznudy.cz  - https://www.kudyznudy.cz/vouchery</w:t>
      </w:r>
    </w:p>
    <w:p w:rsidR="00425D1A" w:rsidRPr="00A02FA6" w:rsidRDefault="00425D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 w:rsidP="00A02F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2FA6">
        <w:rPr>
          <w:rFonts w:ascii="Times New Roman" w:eastAsia="Times New Roman" w:hAnsi="Times New Roman" w:cs="Times New Roman"/>
        </w:rPr>
        <w:t>pobyt, na který byla poskytnuta sleva 2 000 Kč v rámci programu „voucher do lázní“, musí být minimálně na 6 dní a musí obsahovat alespoň 5 léčebných procedur</w:t>
      </w:r>
      <w:r w:rsidR="00D55F4E" w:rsidRPr="00A02FA6">
        <w:rPr>
          <w:rFonts w:ascii="Times New Roman" w:eastAsia="Times New Roman" w:hAnsi="Times New Roman" w:cs="Times New Roman"/>
        </w:rPr>
        <w:t>.</w:t>
      </w:r>
    </w:p>
    <w:p w:rsidR="00425D1A" w:rsidRPr="00940518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Pr="00940518" w:rsidRDefault="00434F7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>O rozhodnutí příslušného orgánu Karlovarského kraje bude žadatel vyrozuměn nejpozději do 15 pracovních dnů ode dne zveřejnění ověřeného usnesení na portálu Karlovarského kraje.</w:t>
      </w:r>
    </w:p>
    <w:p w:rsidR="00425D1A" w:rsidRPr="00A02FA6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Pr="00A02FA6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02FA6">
        <w:rPr>
          <w:rFonts w:ascii="Times New Roman" w:eastAsia="Times New Roman" w:hAnsi="Times New Roman" w:cs="Times New Roman"/>
          <w:b/>
        </w:rPr>
        <w:t>Čl. X.</w:t>
      </w:r>
    </w:p>
    <w:p w:rsidR="00425D1A" w:rsidRPr="00A02FA6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2FA6">
        <w:rPr>
          <w:rFonts w:ascii="Times New Roman" w:eastAsia="Times New Roman" w:hAnsi="Times New Roman" w:cs="Times New Roman"/>
          <w:b/>
        </w:rPr>
        <w:t>Vzor žádosti, příloh k žádosti a ostatních dokumentů</w:t>
      </w:r>
      <w:r w:rsidRPr="00A02FA6">
        <w:rPr>
          <w:rFonts w:ascii="Times New Roman" w:eastAsia="Times New Roman" w:hAnsi="Times New Roman" w:cs="Times New Roman"/>
          <w:b/>
          <w:vertAlign w:val="superscript"/>
        </w:rPr>
        <w:footnoteReference w:id="13"/>
      </w:r>
    </w:p>
    <w:p w:rsidR="00425D1A" w:rsidRPr="00A02FA6" w:rsidRDefault="00434F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02FA6">
        <w:rPr>
          <w:rFonts w:ascii="Times New Roman" w:eastAsia="Times New Roman" w:hAnsi="Times New Roman" w:cs="Times New Roman"/>
        </w:rPr>
        <w:t>Vzor žádosti resp. nevyplněnou elektronickou žádost má žadatel k dispozici v dotačním portálu Karlovarského kraje. Vzory příloh k žádosti jsou součástí tohoto dokumentu.</w:t>
      </w:r>
    </w:p>
    <w:p w:rsidR="00425D1A" w:rsidRPr="00A02FA6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A02FA6">
        <w:rPr>
          <w:rFonts w:ascii="Times New Roman" w:eastAsia="Times New Roman" w:hAnsi="Times New Roman" w:cs="Times New Roman"/>
        </w:rPr>
        <w:lastRenderedPageBreak/>
        <w:t xml:space="preserve">Dotační program je k dispozici v listinné podobě na odboru kultury, památkové péče, lázeňství a cestovního ruchu (dále jen „OKPPLCR“) a v elektronické podobě na internetových stránkách </w:t>
      </w:r>
      <w:r>
        <w:rPr>
          <w:rFonts w:ascii="Times New Roman" w:eastAsia="Times New Roman" w:hAnsi="Times New Roman" w:cs="Times New Roman"/>
          <w:color w:val="000000"/>
        </w:rPr>
        <w:t xml:space="preserve">kraje </w:t>
      </w:r>
      <w:hyperlink r:id="rId11">
        <w:r>
          <w:rPr>
            <w:rFonts w:ascii="Times New Roman" w:eastAsia="Times New Roman" w:hAnsi="Times New Roman" w:cs="Times New Roman"/>
            <w:color w:val="0563C1"/>
            <w:u w:val="single"/>
          </w:rPr>
          <w:t>http://www.kr-karlovarsky.cz/dotace/Stranky/Prehled-dotace.aspx</w:t>
        </w:r>
      </w:hyperlink>
      <w:r>
        <w:rPr>
          <w:rFonts w:ascii="Times New Roman" w:eastAsia="Times New Roman" w:hAnsi="Times New Roman" w:cs="Times New Roman"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Informace o dotačním programu může žadatel získat také na informačním portálu kraje </w:t>
      </w:r>
      <w:hyperlink r:id="rId12">
        <w:r>
          <w:rPr>
            <w:rFonts w:ascii="Times New Roman" w:eastAsia="Times New Roman" w:hAnsi="Times New Roman" w:cs="Times New Roman"/>
            <w:color w:val="0563C1"/>
            <w:u w:val="single"/>
          </w:rPr>
          <w:t>http://programy.kr-karlovarsky.cz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Čl. XI.</w:t>
      </w:r>
    </w:p>
    <w:p w:rsidR="00425D1A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Použití, kontrola a finanční vypořádání poskytnuté dotace</w:t>
      </w:r>
    </w:p>
    <w:p w:rsidR="00425D1A" w:rsidRDefault="00434F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Finanční prostředky poskytnuté formou dotace musí být použity v souladu s uzavřenou veřejnoprávní smlouvou o poskytnutí dotace.</w:t>
      </w: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Kontrolu dle zákona číslo 320/2001 Sb., o finanční kontrole ve veřejné správě a o změně některých zákonů (zákon o finanční kontrole), ve znění pozdějších předpisů a zákona číslo 255/2012 Sb., o kontrole (kontrolní řád), ve znění pozdějších předpisů vykonávají mj. pověření zaměstnanci a členové příslušných kontrolních orgánů kraje.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Příjemce je povinen v rámci výkonu kontrolní činnosti dle předchozího odstavce tohoto článku předložit pověřeným zaměstnancům a členům příslušných kontrolních orgánů kraje k nahlédnutí veškeré originální doklady týkající se poskytnuté dotace.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0518">
        <w:rPr>
          <w:rFonts w:ascii="Times New Roman" w:eastAsia="Times New Roman" w:hAnsi="Times New Roman" w:cs="Times New Roman"/>
        </w:rPr>
        <w:t xml:space="preserve">Příjemce je povinen předložit </w:t>
      </w:r>
      <w:r w:rsidR="00D55F4E" w:rsidRPr="00940518">
        <w:rPr>
          <w:rFonts w:ascii="Times New Roman" w:eastAsia="Times New Roman" w:hAnsi="Times New Roman" w:cs="Times New Roman"/>
        </w:rPr>
        <w:t>OKPPLCR</w:t>
      </w:r>
      <w:r w:rsidRPr="00940518">
        <w:rPr>
          <w:rFonts w:ascii="Times New Roman" w:eastAsia="Times New Roman" w:hAnsi="Times New Roman" w:cs="Times New Roman"/>
        </w:rPr>
        <w:t xml:space="preserve"> žádost o platbu nejpozději do termínu stanoveného </w:t>
      </w:r>
      <w:r>
        <w:rPr>
          <w:rFonts w:ascii="Times New Roman" w:eastAsia="Times New Roman" w:hAnsi="Times New Roman" w:cs="Times New Roman"/>
        </w:rPr>
        <w:t>ve veřejnoprávní smlouvě o poskytnutí dotace. Žádost o platbu lze nahradit přílohami k žádosti o dotaci, které slouží jako podklad pro výpočet výše dotace</w:t>
      </w:r>
      <w:r w:rsidR="00BB639E">
        <w:rPr>
          <w:rFonts w:ascii="Times New Roman" w:eastAsia="Times New Roman" w:hAnsi="Times New Roman" w:cs="Times New Roman"/>
        </w:rPr>
        <w:t xml:space="preserve"> (jedná se o doklady prokazující uplatnění voucheru do lázní z portálu kudyznudy.cz)</w:t>
      </w:r>
      <w:r>
        <w:rPr>
          <w:rFonts w:ascii="Times New Roman" w:eastAsia="Times New Roman" w:hAnsi="Times New Roman" w:cs="Times New Roman"/>
        </w:rPr>
        <w:t xml:space="preserve">. </w:t>
      </w: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Čl. XII.</w:t>
      </w:r>
    </w:p>
    <w:p w:rsidR="00425D1A" w:rsidRDefault="0043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Závěrečná a přechodná ustanovení</w:t>
      </w:r>
    </w:p>
    <w:p w:rsidR="00425D1A" w:rsidRDefault="00434F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 případě dlouhodobých činností nebo opakovaných akcí nevzniká uzavřením veřejnoprávní smlouvy o poskytnutí dotace automatický nárok na poskytnutí dotace v následujících letech</w:t>
      </w:r>
      <w:r>
        <w:rPr>
          <w:rFonts w:ascii="Times New Roman" w:eastAsia="Times New Roman" w:hAnsi="Times New Roman" w:cs="Times New Roman"/>
          <w:strike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</w:rPr>
        <w:t>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Dotační program se přijímá pro období od </w:t>
      </w:r>
      <w:r w:rsidRPr="00A37CDB">
        <w:rPr>
          <w:rFonts w:ascii="Times New Roman" w:eastAsia="Times New Roman" w:hAnsi="Times New Roman" w:cs="Times New Roman"/>
          <w:color w:val="000000" w:themeColor="text1"/>
        </w:rPr>
        <w:t xml:space="preserve">1. 1. 2022 </w:t>
      </w:r>
      <w:r>
        <w:rPr>
          <w:rFonts w:ascii="Times New Roman" w:eastAsia="Times New Roman" w:hAnsi="Times New Roman" w:cs="Times New Roman"/>
        </w:rPr>
        <w:t>do 31. 3. 2022.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Dotační program byl schválen usnesením zastupitelstva kraje </w:t>
      </w:r>
      <w:r w:rsidR="004F1226" w:rsidRPr="004F1226">
        <w:rPr>
          <w:rFonts w:ascii="Times New Roman" w:eastAsia="Times New Roman" w:hAnsi="Times New Roman" w:cs="Times New Roman"/>
          <w:color w:val="000000" w:themeColor="text1"/>
        </w:rPr>
        <w:t>ZK 89</w:t>
      </w:r>
      <w:r w:rsidRPr="004F1226">
        <w:rPr>
          <w:rFonts w:ascii="Times New Roman" w:eastAsia="Times New Roman" w:hAnsi="Times New Roman" w:cs="Times New Roman"/>
          <w:color w:val="000000" w:themeColor="text1"/>
        </w:rPr>
        <w:t>/</w:t>
      </w:r>
      <w:r w:rsidR="00D55F4E" w:rsidRPr="004F1226">
        <w:rPr>
          <w:rFonts w:ascii="Times New Roman" w:eastAsia="Times New Roman" w:hAnsi="Times New Roman" w:cs="Times New Roman"/>
          <w:color w:val="000000" w:themeColor="text1"/>
        </w:rPr>
        <w:t>02</w:t>
      </w:r>
      <w:r w:rsidRPr="004F1226">
        <w:rPr>
          <w:rFonts w:ascii="Times New Roman" w:eastAsia="Times New Roman" w:hAnsi="Times New Roman" w:cs="Times New Roman"/>
          <w:color w:val="000000" w:themeColor="text1"/>
        </w:rPr>
        <w:t>/</w:t>
      </w:r>
      <w:r w:rsidR="00D55F4E" w:rsidRPr="004F1226">
        <w:rPr>
          <w:rFonts w:ascii="Times New Roman" w:eastAsia="Times New Roman" w:hAnsi="Times New Roman" w:cs="Times New Roman"/>
          <w:color w:val="000000" w:themeColor="text1"/>
        </w:rPr>
        <w:t>22</w:t>
      </w:r>
      <w:r w:rsidRPr="004F1226">
        <w:rPr>
          <w:rFonts w:ascii="Times New Roman" w:eastAsia="Times New Roman" w:hAnsi="Times New Roman" w:cs="Times New Roman"/>
          <w:color w:val="000000" w:themeColor="text1"/>
        </w:rPr>
        <w:t>, ze dne 28. 2. 2022.</w:t>
      </w:r>
    </w:p>
    <w:p w:rsidR="00425D1A" w:rsidRDefault="00425D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D1A" w:rsidRDefault="00434F7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Dotační program nabývá účinnosti dnem schválení.</w:t>
      </w: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25D1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5D1A" w:rsidRDefault="00434F7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Přílohy:</w:t>
      </w:r>
      <w:bookmarkStart w:id="0" w:name="_GoBack"/>
      <w:bookmarkEnd w:id="0"/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25D1A" w:rsidRDefault="00434F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Vzor žádosti o dotaci</w:t>
      </w:r>
    </w:p>
    <w:p w:rsidR="00425D1A" w:rsidRDefault="00425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25D1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71" w:rsidRDefault="00434F71">
      <w:pPr>
        <w:spacing w:after="0" w:line="240" w:lineRule="auto"/>
      </w:pPr>
      <w:r>
        <w:separator/>
      </w:r>
    </w:p>
  </w:endnote>
  <w:endnote w:type="continuationSeparator" w:id="0">
    <w:p w:rsidR="00434F71" w:rsidRDefault="0043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1A" w:rsidRDefault="00434F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Vzor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1A" w:rsidRDefault="00425D1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425D1A">
      <w:tc>
        <w:tcPr>
          <w:tcW w:w="3020" w:type="dxa"/>
        </w:tcPr>
        <w:p w:rsidR="00425D1A" w:rsidRDefault="00425D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:rsidR="00425D1A" w:rsidRDefault="00425D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:rsidR="00425D1A" w:rsidRDefault="00425D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425D1A" w:rsidRDefault="00425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71" w:rsidRDefault="00434F71">
      <w:pPr>
        <w:spacing w:after="0" w:line="240" w:lineRule="auto"/>
      </w:pPr>
      <w:r>
        <w:separator/>
      </w:r>
    </w:p>
  </w:footnote>
  <w:footnote w:type="continuationSeparator" w:id="0">
    <w:p w:rsidR="00434F71" w:rsidRDefault="00434F71">
      <w:pPr>
        <w:spacing w:after="0" w:line="240" w:lineRule="auto"/>
      </w:pPr>
      <w:r>
        <w:continuationSeparator/>
      </w:r>
    </w:p>
  </w:footnote>
  <w:footnote w:id="1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a) zákona č. 250/2000 Sb., o rozpočtových pravidlech územních rozpočtů, ve znění pozdějších předpisů</w:t>
      </w:r>
    </w:p>
  </w:footnote>
  <w:footnote w:id="2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b) zákona č. 250/2000 Sb.</w:t>
      </w:r>
    </w:p>
  </w:footnote>
  <w:footnote w:id="3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c) zákona č. 250/2000 Sb.</w:t>
      </w:r>
    </w:p>
  </w:footnote>
  <w:footnote w:id="4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e) zákona č. 250/2000 Sb.</w:t>
      </w:r>
    </w:p>
  </w:footnote>
  <w:footnote w:id="5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f) zákona č. 250/2000 Sb.</w:t>
      </w:r>
    </w:p>
  </w:footnote>
  <w:footnote w:id="6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7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6 odst. 2 zákona č. 297/2016 Sb.</w:t>
      </w:r>
    </w:p>
  </w:footnote>
  <w:footnote w:id="8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9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10a odst. 3 písm. f) bod 3. zákona č. 250/2000 Sb.</w:t>
      </w:r>
    </w:p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zákon č. 37/2021 Sb., o evidenci skutečných majitelů, ve znění pozdějších předpisů</w:t>
      </w:r>
    </w:p>
  </w:footnote>
  <w:footnote w:id="10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h) zákona č. 250/2000 Sb.</w:t>
      </w:r>
    </w:p>
  </w:footnote>
  <w:footnote w:id="11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g) zákona č. 250/2000 Sb.</w:t>
      </w:r>
    </w:p>
  </w:footnote>
  <w:footnote w:id="12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i) zákona č. 250/2000 Sb.</w:t>
      </w:r>
    </w:p>
  </w:footnote>
  <w:footnote w:id="13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10c odst. 2 písm. j) zákona č. 250/2000 Sb.</w:t>
      </w:r>
    </w:p>
  </w:footnote>
  <w:footnote w:id="14">
    <w:p w:rsidR="00425D1A" w:rsidRDefault="00434F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1A" w:rsidRDefault="00425D1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mallCaps/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425D1A">
      <w:tc>
        <w:tcPr>
          <w:tcW w:w="3020" w:type="dxa"/>
        </w:tcPr>
        <w:p w:rsidR="00425D1A" w:rsidRDefault="00425D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:rsidR="00425D1A" w:rsidRDefault="00425D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:rsidR="00425D1A" w:rsidRDefault="00425D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425D1A" w:rsidRDefault="00425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1A" w:rsidRDefault="00434F71">
    <w:pPr>
      <w:pStyle w:val="Nadpis2"/>
      <w:ind w:left="1134"/>
      <w:jc w:val="left"/>
      <w:rPr>
        <w:smallCaps/>
      </w:rPr>
    </w:pPr>
    <w:r>
      <w:rPr>
        <w:smallCaps/>
      </w:rPr>
      <w:t>KARLOVARSKÝ KRAJ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-66674</wp:posOffset>
              </wp:positionH>
              <wp:positionV relativeFrom="paragraph">
                <wp:posOffset>13334</wp:posOffset>
              </wp:positionV>
              <wp:extent cx="627380" cy="63944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1EC" w:rsidRDefault="00434F71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-66674</wp:posOffset>
              </wp:positionH>
              <wp:positionV relativeFrom="paragraph">
                <wp:posOffset>13334</wp:posOffset>
              </wp:positionV>
              <wp:extent cx="627380" cy="639445"/>
              <wp:effectExtent b="0" l="0" r="0" t="0"/>
              <wp:wrapNone/>
              <wp:docPr id="4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380" cy="639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25D1A" w:rsidRDefault="00434F71">
    <w:pPr>
      <w:tabs>
        <w:tab w:val="left" w:pos="7545"/>
      </w:tabs>
      <w:ind w:left="1134"/>
      <w:rPr>
        <w:rFonts w:ascii="Arial Black" w:eastAsia="Arial Black" w:hAnsi="Arial Black" w:cs="Arial Black"/>
        <w:smallCaps/>
        <w:sz w:val="26"/>
        <w:szCs w:val="26"/>
        <w:vertAlign w:val="subscript"/>
      </w:rPr>
    </w:pPr>
    <w:r>
      <w:rPr>
        <w:rFonts w:ascii="Arial Black" w:eastAsia="Arial Black" w:hAnsi="Arial Black" w:cs="Arial Black"/>
        <w:smallCaps/>
        <w:sz w:val="36"/>
        <w:szCs w:val="36"/>
        <w:vertAlign w:val="subscript"/>
      </w:rPr>
      <w:t>ZASTUPITELSTVO KRAJE</w:t>
    </w:r>
  </w:p>
  <w:p w:rsidR="00425D1A" w:rsidRDefault="00434F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134"/>
      <w:rPr>
        <w:smallCaps/>
        <w:color w:val="000000"/>
      </w:rPr>
    </w:pPr>
    <w:r>
      <w:rPr>
        <w:noProof/>
        <w:lang w:eastAsia="cs-CZ"/>
      </w:rPr>
      <mc:AlternateContent>
        <mc:Choice Requires="wpg">
          <w:drawing>
            <wp:anchor distT="4294967293" distB="4294967293" distL="114300" distR="114300" simplePos="0" relativeHeight="251659264" behindDoc="0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17794</wp:posOffset>
              </wp:positionV>
              <wp:extent cx="5165090" cy="12700"/>
              <wp:effectExtent l="0" t="0" r="0" b="0"/>
              <wp:wrapNone/>
              <wp:docPr id="5" name="Přímá spojnice se šipko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63455" y="3780000"/>
                        <a:ext cx="516509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3" distT="4294967293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17794</wp:posOffset>
              </wp:positionV>
              <wp:extent cx="5165090" cy="127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650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175"/>
    <w:multiLevelType w:val="multilevel"/>
    <w:tmpl w:val="8012BE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3205"/>
    <w:multiLevelType w:val="multilevel"/>
    <w:tmpl w:val="5B183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E2206B"/>
    <w:multiLevelType w:val="multilevel"/>
    <w:tmpl w:val="D8A85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A53C9"/>
    <w:multiLevelType w:val="multilevel"/>
    <w:tmpl w:val="2910CB6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77E55"/>
    <w:multiLevelType w:val="multilevel"/>
    <w:tmpl w:val="91CCC00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2B7F41"/>
    <w:multiLevelType w:val="multilevel"/>
    <w:tmpl w:val="4BBAB6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DE711D"/>
    <w:multiLevelType w:val="multilevel"/>
    <w:tmpl w:val="84F8B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556D"/>
    <w:multiLevelType w:val="multilevel"/>
    <w:tmpl w:val="213C8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567DF8"/>
    <w:multiLevelType w:val="multilevel"/>
    <w:tmpl w:val="CED0B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64D60"/>
    <w:multiLevelType w:val="multilevel"/>
    <w:tmpl w:val="1D4435BC"/>
    <w:lvl w:ilvl="0">
      <w:start w:val="1"/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2253B4"/>
    <w:multiLevelType w:val="multilevel"/>
    <w:tmpl w:val="E4AC3222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C1092"/>
    <w:multiLevelType w:val="multilevel"/>
    <w:tmpl w:val="AFEA1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42722D"/>
    <w:multiLevelType w:val="multilevel"/>
    <w:tmpl w:val="FC5618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E1A81"/>
    <w:multiLevelType w:val="multilevel"/>
    <w:tmpl w:val="DCE4D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B7119"/>
    <w:multiLevelType w:val="multilevel"/>
    <w:tmpl w:val="446AFE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90707"/>
    <w:multiLevelType w:val="multilevel"/>
    <w:tmpl w:val="767CE2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F4283D"/>
    <w:multiLevelType w:val="multilevel"/>
    <w:tmpl w:val="DA34B6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6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1A"/>
    <w:rsid w:val="00195387"/>
    <w:rsid w:val="002A3707"/>
    <w:rsid w:val="00324C29"/>
    <w:rsid w:val="00425D1A"/>
    <w:rsid w:val="00434F71"/>
    <w:rsid w:val="004F1226"/>
    <w:rsid w:val="00535158"/>
    <w:rsid w:val="005F3488"/>
    <w:rsid w:val="00940518"/>
    <w:rsid w:val="00A02FA6"/>
    <w:rsid w:val="00A37CDB"/>
    <w:rsid w:val="00AE6E0B"/>
    <w:rsid w:val="00BB639E"/>
    <w:rsid w:val="00CF6A5F"/>
    <w:rsid w:val="00D55F4E"/>
    <w:rsid w:val="00E63949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10CD"/>
  <w15:docId w15:val="{EA330689-E726-43D0-8B47-6F34F8A1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.kr-karlovarsky.cz/gordic/ginis/app/RAP05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programy.kr-karlovarsk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rogramy.kr-karlovarsky.cz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7vUKhVZvjKpggt2YnU6ge4cznQ==">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35E1DF-89B7-4150-99EC-BB2CFC8CE65D}"/>
</file>

<file path=customXml/itemProps2.xml><?xml version="1.0" encoding="utf-8"?>
<ds:datastoreItem xmlns:ds="http://schemas.openxmlformats.org/officeDocument/2006/customXml" ds:itemID="{4A6E11D0-969B-4EB6-A3F1-A9D1A09114CE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C69C514B-04D5-4CBA-A4E3-9BB056F59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Kolařík Karel</dc:creator>
  <cp:lastModifiedBy>Štecová Romana</cp:lastModifiedBy>
  <cp:revision>3</cp:revision>
  <dcterms:created xsi:type="dcterms:W3CDTF">2022-03-01T10:44:00Z</dcterms:created>
  <dcterms:modified xsi:type="dcterms:W3CDTF">2022-03-04T08:43:00Z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9" name="TaxCatchAll">
    <vt:lpwstr/>
  </property>
  <property fmtid="{D5CDD505-2E9C-101B-9397-08002B2CF9AE}" pid="20" name="Wiki Page Categories">
    <vt:lpwstr/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6" name="MigrationSourceURL2">
    <vt:lpwstr/>
  </property>
</Properties>
</file>