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6858DDA" w:rsidR="00CC11A9" w:rsidRPr="00D9675B" w:rsidRDefault="00CC11A9" w:rsidP="00345491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B04ABA">
        <w:rPr>
          <w:rFonts w:eastAsia="Times New Roman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B04ABA">
        <w:rPr>
          <w:rFonts w:eastAsia="Times New Roman"/>
          <w:lang w:eastAsia="cs-CZ"/>
        </w:rPr>
        <w:instrText xml:space="preserve"> FORMTEXT </w:instrText>
      </w:r>
      <w:r w:rsidR="00B04ABA">
        <w:rPr>
          <w:rFonts w:eastAsia="Times New Roman"/>
          <w:lang w:eastAsia="cs-CZ"/>
        </w:rPr>
      </w:r>
      <w:r w:rsidR="00B04ABA">
        <w:rPr>
          <w:rFonts w:eastAsia="Times New Roman"/>
          <w:lang w:eastAsia="cs-CZ"/>
        </w:rPr>
        <w:fldChar w:fldCharType="separate"/>
      </w:r>
      <w:r w:rsidR="00F43320">
        <w:rPr>
          <w:rFonts w:eastAsia="Times New Roman"/>
          <w:lang w:eastAsia="cs-CZ"/>
        </w:rPr>
        <w:t> </w:t>
      </w:r>
      <w:r w:rsidR="00F43320">
        <w:rPr>
          <w:rFonts w:eastAsia="Times New Roman"/>
          <w:lang w:eastAsia="cs-CZ"/>
        </w:rPr>
        <w:t> </w:t>
      </w:r>
      <w:r w:rsidR="00F43320">
        <w:rPr>
          <w:rFonts w:eastAsia="Times New Roman"/>
          <w:lang w:eastAsia="cs-CZ"/>
        </w:rPr>
        <w:t> </w:t>
      </w:r>
      <w:r w:rsidR="00F43320">
        <w:rPr>
          <w:rFonts w:eastAsia="Times New Roman"/>
          <w:lang w:eastAsia="cs-CZ"/>
        </w:rPr>
        <w:t> </w:t>
      </w:r>
      <w:r w:rsidR="00F43320">
        <w:rPr>
          <w:rFonts w:eastAsia="Times New Roman"/>
          <w:lang w:eastAsia="cs-CZ"/>
        </w:rPr>
        <w:t> </w:t>
      </w:r>
      <w:r w:rsidR="00B04ABA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5E29DC" w14:textId="32A3E217" w:rsidR="00A46769" w:rsidRPr="0096502F" w:rsidRDefault="00CC11A9" w:rsidP="00A4676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46769" w:rsidRPr="00E247FE">
        <w:rPr>
          <w:rFonts w:eastAsia="Times New Roman"/>
          <w:lang w:eastAsia="cs-CZ"/>
        </w:rPr>
        <w:t>Mgr. Robert</w:t>
      </w:r>
      <w:r w:rsidR="002F3FDE">
        <w:rPr>
          <w:rFonts w:eastAsia="Times New Roman"/>
          <w:lang w:eastAsia="cs-CZ"/>
        </w:rPr>
        <w:t>em</w:t>
      </w:r>
      <w:r w:rsidR="00A46769" w:rsidRPr="00E247FE">
        <w:rPr>
          <w:rFonts w:eastAsia="Times New Roman"/>
          <w:lang w:eastAsia="cs-CZ"/>
        </w:rPr>
        <w:t xml:space="preserve"> </w:t>
      </w:r>
      <w:proofErr w:type="spellStart"/>
      <w:r w:rsidR="00A46769" w:rsidRPr="00E247FE">
        <w:rPr>
          <w:rFonts w:eastAsia="Times New Roman"/>
          <w:lang w:eastAsia="cs-CZ"/>
        </w:rPr>
        <w:t>Pisár</w:t>
      </w:r>
      <w:r w:rsidR="002F3FDE">
        <w:rPr>
          <w:rFonts w:eastAsia="Times New Roman"/>
          <w:lang w:eastAsia="cs-CZ"/>
        </w:rPr>
        <w:t>em</w:t>
      </w:r>
      <w:proofErr w:type="spellEnd"/>
      <w:r w:rsidR="00A46769" w:rsidRPr="00E247FE">
        <w:rPr>
          <w:rFonts w:eastAsia="Times New Roman"/>
          <w:lang w:eastAsia="cs-CZ"/>
        </w:rPr>
        <w:t xml:space="preserve">, </w:t>
      </w:r>
      <w:r w:rsidR="00A46769" w:rsidRPr="00E247FE">
        <w:rPr>
          <w:rFonts w:eastAsia="Times New Roman"/>
          <w:bCs/>
          <w:lang w:eastAsia="cs-CZ"/>
        </w:rPr>
        <w:t>člen</w:t>
      </w:r>
      <w:r w:rsidR="002F3FDE">
        <w:rPr>
          <w:rFonts w:eastAsia="Times New Roman"/>
          <w:bCs/>
          <w:lang w:eastAsia="cs-CZ"/>
        </w:rPr>
        <w:t>em</w:t>
      </w:r>
      <w:r w:rsidR="00A46769" w:rsidRPr="00E247FE">
        <w:rPr>
          <w:rFonts w:eastAsia="Times New Roman"/>
          <w:bCs/>
          <w:lang w:eastAsia="cs-CZ"/>
        </w:rPr>
        <w:t xml:space="preserve"> Rady Karlovarského kraje</w:t>
      </w:r>
    </w:p>
    <w:p w14:paraId="2EB1E719" w14:textId="2D78BEB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Raiffeisenbank</w:t>
      </w:r>
      <w:proofErr w:type="spellEnd"/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1D8AA015" w:rsidR="00BB1BD1" w:rsidRDefault="00BB1BD1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F43320">
        <w:rPr>
          <w:b/>
          <w:bCs/>
        </w:rPr>
        <w:t>Město Habartov</w:t>
      </w:r>
      <w:r>
        <w:rPr>
          <w:b/>
          <w:bCs/>
        </w:rPr>
        <w:fldChar w:fldCharType="end"/>
      </w:r>
      <w:bookmarkEnd w:id="2"/>
    </w:p>
    <w:p w14:paraId="150068AB" w14:textId="03555172" w:rsidR="00825DDF" w:rsidRDefault="00825DDF" w:rsidP="00825DDF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F43320">
        <w:t>náměstí Přátelství 112, 35709 Habartov</w:t>
      </w:r>
      <w:r>
        <w:fldChar w:fldCharType="end"/>
      </w:r>
      <w:bookmarkEnd w:id="4"/>
    </w:p>
    <w:p w14:paraId="4BBC2051" w14:textId="6BC04950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 w:rsidR="00F43320">
        <w:t>259314</w:t>
      </w:r>
      <w:r>
        <w:fldChar w:fldCharType="end"/>
      </w:r>
      <w:bookmarkEnd w:id="5"/>
    </w:p>
    <w:p w14:paraId="0B30A61C" w14:textId="57AC8F96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 w:rsidR="00F43320">
        <w:t>CZ00259314</w:t>
      </w:r>
      <w:r>
        <w:fldChar w:fldCharType="end"/>
      </w:r>
      <w:bookmarkEnd w:id="6"/>
    </w:p>
    <w:p w14:paraId="014C0A5E" w14:textId="0E2F1342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 w:rsidR="006E6DA9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E6DA9">
        <w:instrText xml:space="preserve"> FORMTEXT </w:instrText>
      </w:r>
      <w:r w:rsidR="006E6DA9">
        <w:fldChar w:fldCharType="separate"/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6E6DA9">
        <w:fldChar w:fldCharType="end"/>
      </w:r>
      <w:bookmarkEnd w:id="7"/>
    </w:p>
    <w:p w14:paraId="5D3665DA" w14:textId="00AC5573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 w:rsidR="006E6DA9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E6DA9">
        <w:instrText xml:space="preserve"> FORMTEXT </w:instrText>
      </w:r>
      <w:r w:rsidR="006E6DA9">
        <w:fldChar w:fldCharType="separate"/>
      </w:r>
      <w:r w:rsidR="00F43320">
        <w:t>Česká národní banka</w:t>
      </w:r>
      <w:r w:rsidR="006E6DA9">
        <w:fldChar w:fldCharType="end"/>
      </w:r>
      <w:bookmarkEnd w:id="8"/>
      <w:r>
        <w:t xml:space="preserve">                   </w:t>
      </w:r>
    </w:p>
    <w:p w14:paraId="0AEE54C2" w14:textId="5EC6D783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 w:rsidR="006E6DA9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6E6DA9">
        <w:instrText xml:space="preserve"> FORMTEXT </w:instrText>
      </w:r>
      <w:r w:rsidR="006E6DA9">
        <w:fldChar w:fldCharType="separate"/>
      </w:r>
      <w:r w:rsidR="00F43320">
        <w:t>94-1815391/0710</w:t>
      </w:r>
      <w:r w:rsidR="006E6DA9">
        <w:fldChar w:fldCharType="end"/>
      </w:r>
      <w:bookmarkEnd w:id="9"/>
    </w:p>
    <w:p w14:paraId="74365F61" w14:textId="7A20B0B6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 w:rsidR="006E6DA9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E6DA9">
        <w:instrText xml:space="preserve"> FORMTEXT </w:instrText>
      </w:r>
      <w:r w:rsidR="006E6DA9">
        <w:fldChar w:fldCharType="separate"/>
      </w:r>
      <w:r w:rsidR="00F43320">
        <w:t>jakobcova@mestohabartov.cz</w:t>
      </w:r>
      <w:r w:rsidR="006E6DA9">
        <w:fldChar w:fldCharType="end"/>
      </w:r>
      <w:bookmarkEnd w:id="10"/>
    </w:p>
    <w:bookmarkEnd w:id="3"/>
    <w:p w14:paraId="261F33D4" w14:textId="11866D24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4A291B7E" w:rsidR="00CC11A9" w:rsidRPr="005C70E5" w:rsidRDefault="008B5C2C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 xml:space="preserve"> </w:t>
      </w:r>
      <w:r w:rsidR="00CC11A9"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BA476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CC46DE">
        <w:t xml:space="preserve">Programem </w:t>
      </w:r>
      <w:r w:rsidR="008A2F37">
        <w:t>na investiční podporu terénních a ambulantních sociálních služeb</w:t>
      </w:r>
      <w:r w:rsidR="008A2F37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B18FEB8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  <w:r w:rsidR="00C4243C">
        <w:rPr>
          <w:sz w:val="22"/>
          <w:szCs w:val="22"/>
        </w:rPr>
        <w:t xml:space="preserve"> Výše dotace může být snížena s ohledem na případnou maximální přípustnou výši podpory v režimu de </w:t>
      </w:r>
      <w:proofErr w:type="spellStart"/>
      <w:r w:rsidR="00C4243C">
        <w:rPr>
          <w:sz w:val="22"/>
          <w:szCs w:val="22"/>
        </w:rPr>
        <w:t>minimis</w:t>
      </w:r>
      <w:proofErr w:type="spellEnd"/>
      <w:r w:rsidR="00C4243C">
        <w:rPr>
          <w:sz w:val="22"/>
          <w:szCs w:val="22"/>
        </w:rPr>
        <w:t xml:space="preserve">, a to dle aktuálního stavu v registru podpor de </w:t>
      </w:r>
      <w:proofErr w:type="spellStart"/>
      <w:r w:rsidR="00C4243C">
        <w:rPr>
          <w:sz w:val="22"/>
          <w:szCs w:val="22"/>
        </w:rPr>
        <w:t>minimis</w:t>
      </w:r>
      <w:proofErr w:type="spellEnd"/>
      <w:r w:rsidR="00C4243C">
        <w:rPr>
          <w:sz w:val="22"/>
          <w:szCs w:val="22"/>
        </w:rPr>
        <w:t xml:space="preserve"> v den podpisu smlouvy.</w:t>
      </w:r>
    </w:p>
    <w:p w14:paraId="5A14974E" w14:textId="46DCAE87" w:rsidR="00CC11A9" w:rsidRDefault="00CC11A9" w:rsidP="00F40594">
      <w:pPr>
        <w:pStyle w:val="Normlnweb"/>
        <w:rPr>
          <w:bCs/>
          <w:sz w:val="22"/>
          <w:szCs w:val="22"/>
        </w:rPr>
      </w:pPr>
    </w:p>
    <w:p w14:paraId="1B203B4D" w14:textId="3E8FACAC" w:rsidR="00CC5635" w:rsidRDefault="00CC5635" w:rsidP="00F40594">
      <w:pPr>
        <w:pStyle w:val="Normlnweb"/>
        <w:rPr>
          <w:bCs/>
          <w:sz w:val="22"/>
          <w:szCs w:val="22"/>
        </w:rPr>
      </w:pPr>
    </w:p>
    <w:p w14:paraId="28E02910" w14:textId="77777777" w:rsidR="00CC5635" w:rsidRPr="00F40594" w:rsidRDefault="00CC5635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39C61C2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  <w:r w:rsidR="001B423D">
        <w:rPr>
          <w:b/>
          <w:bCs/>
          <w:sz w:val="22"/>
          <w:szCs w:val="22"/>
        </w:rPr>
        <w:t>/2024</w:t>
      </w:r>
    </w:p>
    <w:p w14:paraId="3C340FA2" w14:textId="5F1862C9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="00AB366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B366A">
        <w:rPr>
          <w:sz w:val="22"/>
          <w:szCs w:val="22"/>
        </w:rPr>
        <w:instrText xml:space="preserve"> FORMTEXT </w:instrText>
      </w:r>
      <w:r w:rsidR="00AB366A">
        <w:rPr>
          <w:sz w:val="22"/>
          <w:szCs w:val="22"/>
        </w:rPr>
      </w:r>
      <w:r w:rsidR="00AB366A">
        <w:rPr>
          <w:sz w:val="22"/>
          <w:szCs w:val="22"/>
        </w:rPr>
        <w:fldChar w:fldCharType="separate"/>
      </w:r>
      <w:r w:rsidR="00070912">
        <w:rPr>
          <w:sz w:val="22"/>
          <w:szCs w:val="22"/>
        </w:rPr>
        <w:t>200</w:t>
      </w:r>
      <w:r w:rsidR="00F43320">
        <w:rPr>
          <w:sz w:val="22"/>
          <w:szCs w:val="22"/>
        </w:rPr>
        <w:t> 000,00</w:t>
      </w:r>
      <w:r w:rsidR="00AB366A">
        <w:rPr>
          <w:sz w:val="22"/>
          <w:szCs w:val="22"/>
        </w:rPr>
        <w:fldChar w:fldCharType="end"/>
      </w:r>
      <w:bookmarkEnd w:id="11"/>
    </w:p>
    <w:p w14:paraId="34489B1C" w14:textId="4E78FE2E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 w:rsidR="00070912">
        <w:rPr>
          <w:sz w:val="22"/>
          <w:szCs w:val="22"/>
        </w:rPr>
        <w:t>dvě stě tisíc korun českých</w:t>
      </w:r>
      <w:r w:rsidRPr="00EC4D12">
        <w:rPr>
          <w:sz w:val="22"/>
          <w:szCs w:val="22"/>
        </w:rPr>
        <w:t>)</w:t>
      </w:r>
    </w:p>
    <w:p w14:paraId="6073522B" w14:textId="328B23AB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="00AB366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B366A">
        <w:rPr>
          <w:sz w:val="22"/>
          <w:szCs w:val="22"/>
        </w:rPr>
        <w:instrText xml:space="preserve"> FORMTEXT </w:instrText>
      </w:r>
      <w:r w:rsidR="00AB366A">
        <w:rPr>
          <w:sz w:val="22"/>
          <w:szCs w:val="22"/>
        </w:rPr>
      </w:r>
      <w:r w:rsidR="00AB366A">
        <w:rPr>
          <w:sz w:val="22"/>
          <w:szCs w:val="22"/>
        </w:rPr>
        <w:fldChar w:fldCharType="separate"/>
      </w:r>
      <w:r w:rsidR="00F43320">
        <w:rPr>
          <w:sz w:val="22"/>
          <w:szCs w:val="22"/>
        </w:rPr>
        <w:t>Pořízení automobilu k zajištění základních činností sociální služby v Habartově.</w:t>
      </w:r>
      <w:r w:rsidR="00AB366A">
        <w:rPr>
          <w:sz w:val="22"/>
          <w:szCs w:val="22"/>
        </w:rPr>
        <w:fldChar w:fldCharType="end"/>
      </w:r>
      <w:bookmarkEnd w:id="12"/>
    </w:p>
    <w:p w14:paraId="322AB919" w14:textId="59243401" w:rsidR="00AB2B75" w:rsidRPr="009E767A" w:rsidRDefault="00AB2B75" w:rsidP="003B1E79">
      <w:pPr>
        <w:pStyle w:val="Normlnweb"/>
        <w:ind w:left="426"/>
        <w:rPr>
          <w:sz w:val="22"/>
          <w:szCs w:val="22"/>
        </w:rPr>
      </w:pPr>
      <w:r w:rsidRPr="009E767A">
        <w:rPr>
          <w:sz w:val="22"/>
          <w:szCs w:val="22"/>
        </w:rPr>
        <w:t>Dotace se poskytuje na sociální službu:</w:t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Pr="009E767A">
        <w:rPr>
          <w:sz w:val="22"/>
          <w:szCs w:val="22"/>
        </w:rPr>
        <w:tab/>
      </w:r>
      <w:r w:rsidR="00B04AB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04ABA">
        <w:rPr>
          <w:sz w:val="22"/>
          <w:szCs w:val="22"/>
        </w:rPr>
        <w:instrText xml:space="preserve"> FORMTEXT </w:instrText>
      </w:r>
      <w:r w:rsidR="00B04ABA">
        <w:rPr>
          <w:sz w:val="22"/>
          <w:szCs w:val="22"/>
        </w:rPr>
      </w:r>
      <w:r w:rsidR="00B04ABA">
        <w:rPr>
          <w:sz w:val="22"/>
          <w:szCs w:val="22"/>
        </w:rPr>
        <w:fldChar w:fldCharType="separate"/>
      </w:r>
      <w:r w:rsidR="00F43320">
        <w:rPr>
          <w:sz w:val="22"/>
          <w:szCs w:val="22"/>
        </w:rPr>
        <w:t>pečovatelská služba</w:t>
      </w:r>
      <w:r w:rsidR="00B04ABA">
        <w:rPr>
          <w:sz w:val="22"/>
          <w:szCs w:val="22"/>
        </w:rPr>
        <w:fldChar w:fldCharType="end"/>
      </w:r>
      <w:bookmarkEnd w:id="13"/>
    </w:p>
    <w:p w14:paraId="43242306" w14:textId="55FA3FF3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 w:rsidR="00B04ABA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04ABA">
        <w:rPr>
          <w:sz w:val="22"/>
          <w:szCs w:val="22"/>
        </w:rPr>
        <w:instrText xml:space="preserve"> FORMTEXT </w:instrText>
      </w:r>
      <w:r w:rsidR="00B04ABA">
        <w:rPr>
          <w:sz w:val="22"/>
          <w:szCs w:val="22"/>
        </w:rPr>
      </w:r>
      <w:r w:rsidR="00B04ABA">
        <w:rPr>
          <w:sz w:val="22"/>
          <w:szCs w:val="22"/>
        </w:rPr>
        <w:fldChar w:fldCharType="separate"/>
      </w:r>
      <w:r w:rsidR="00F43320">
        <w:rPr>
          <w:sz w:val="22"/>
          <w:szCs w:val="22"/>
        </w:rPr>
        <w:t>0</w:t>
      </w:r>
      <w:r w:rsidR="00B04ABA">
        <w:rPr>
          <w:sz w:val="22"/>
          <w:szCs w:val="22"/>
        </w:rPr>
        <w:fldChar w:fldCharType="end"/>
      </w:r>
      <w:bookmarkEnd w:id="14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13BBE8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</w:t>
      </w:r>
      <w:r w:rsidR="00C57009">
        <w:rPr>
          <w:rFonts w:eastAsia="Times New Roman"/>
          <w:lang w:eastAsia="cs-CZ"/>
        </w:rPr>
        <w:t>4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</w:t>
      </w:r>
      <w:r w:rsidR="00C57009">
        <w:rPr>
          <w:rFonts w:eastAsia="Times New Roman"/>
          <w:lang w:eastAsia="cs-CZ"/>
        </w:rPr>
        <w:t>4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</w:t>
      </w:r>
      <w:r w:rsidR="00C57009">
        <w:rPr>
          <w:rFonts w:eastAsia="Times New Roman"/>
          <w:lang w:eastAsia="cs-CZ"/>
        </w:rPr>
        <w:t>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133D2E93" w14:textId="77777777" w:rsidR="00BA0841" w:rsidRPr="005856B3" w:rsidRDefault="00BA0841" w:rsidP="00BA0841">
      <w:pPr>
        <w:spacing w:after="0" w:line="240" w:lineRule="auto"/>
        <w:rPr>
          <w:rFonts w:eastAsia="Arial Unicode MS"/>
          <w:lang w:eastAsia="cs-CZ"/>
        </w:rPr>
      </w:pPr>
    </w:p>
    <w:p w14:paraId="2D3065F1" w14:textId="77777777" w:rsidR="00BA0841" w:rsidRPr="005A01EE" w:rsidRDefault="00BA0841" w:rsidP="00BA0841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>
        <w:rPr>
          <w:rFonts w:eastAsia="Arial Unicode MS"/>
          <w:lang w:eastAsia="cs-CZ"/>
        </w:rPr>
        <w:t>.</w:t>
      </w:r>
    </w:p>
    <w:p w14:paraId="34C38C4B" w14:textId="77777777" w:rsidR="00BA0841" w:rsidRDefault="00BA0841" w:rsidP="00BA0841">
      <w:pPr>
        <w:spacing w:after="0" w:line="240" w:lineRule="auto"/>
        <w:rPr>
          <w:rFonts w:eastAsia="Times New Roman"/>
          <w:lang w:eastAsia="cs-CZ"/>
        </w:rPr>
      </w:pPr>
    </w:p>
    <w:p w14:paraId="4CE9E67F" w14:textId="77777777" w:rsidR="00BA0841" w:rsidRPr="004A4271" w:rsidRDefault="00BA0841" w:rsidP="00BA0841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 lze uskutečnit pouze přímým nákupem.</w:t>
      </w:r>
    </w:p>
    <w:p w14:paraId="443C7A64" w14:textId="77777777" w:rsidR="00BA0841" w:rsidRPr="004A4271" w:rsidRDefault="00BA0841" w:rsidP="00BA0841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5F302984" w14:textId="77777777" w:rsidR="00BA0841" w:rsidRDefault="00BA0841" w:rsidP="00BA0841">
      <w:pPr>
        <w:numPr>
          <w:ilvl w:val="0"/>
          <w:numId w:val="3"/>
        </w:numPr>
        <w:spacing w:after="0" w:line="240" w:lineRule="auto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14:paraId="3E4AE50B" w14:textId="77777777" w:rsidR="00BA0841" w:rsidRDefault="00BA0841" w:rsidP="002B67D8">
      <w:pPr>
        <w:spacing w:after="0" w:line="240" w:lineRule="auto"/>
        <w:rPr>
          <w:rFonts w:eastAsia="Arial Unicode MS"/>
          <w:lang w:eastAsia="cs-CZ"/>
        </w:rPr>
      </w:pPr>
    </w:p>
    <w:p w14:paraId="2668E510" w14:textId="77777777" w:rsidR="00BA0841" w:rsidRPr="005856B3" w:rsidRDefault="00BA0841" w:rsidP="002B67D8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5ECBF058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7372C9" w:rsidRPr="00461EC2">
        <w:t xml:space="preserve">ZK </w:t>
      </w:r>
      <w:r w:rsidR="00EC488E">
        <w:t>221/04/23</w:t>
      </w:r>
      <w:r w:rsidR="00C94FE8">
        <w:t xml:space="preserve"> </w:t>
      </w:r>
      <w:r w:rsidR="007372C9" w:rsidRPr="00461EC2">
        <w:rPr>
          <w:lang w:eastAsia="cs-CZ"/>
        </w:rPr>
        <w:t xml:space="preserve">ze dne </w:t>
      </w:r>
      <w:r w:rsidR="00EC488E">
        <w:rPr>
          <w:lang w:eastAsia="cs-CZ"/>
        </w:rPr>
        <w:t>24. 4. 2023</w:t>
      </w:r>
      <w:r w:rsidR="007372C9" w:rsidRPr="00461EC2">
        <w:rPr>
          <w:lang w:eastAsia="cs-CZ"/>
        </w:rPr>
        <w:t>, zveřejněným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58E9CCFC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CFB0DA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2C4092">
        <w:rPr>
          <w:rFonts w:eastAsia="Arial Unicode MS"/>
          <w:lang w:eastAsia="cs-CZ"/>
        </w:rPr>
        <w:t>15. 1. 202</w:t>
      </w:r>
      <w:r w:rsidR="00C60897">
        <w:rPr>
          <w:rFonts w:eastAsia="Arial Unicode MS"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50D04BA4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</w:t>
      </w:r>
      <w:r w:rsidR="00843B24">
        <w:t>.</w:t>
      </w:r>
    </w:p>
    <w:p w14:paraId="7FD8F3A9" w14:textId="77777777" w:rsidR="00FA5ADA" w:rsidRPr="00A22E47" w:rsidRDefault="00FA5ADA" w:rsidP="00B31D8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76526C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76526C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652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652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9DF21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6089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 xml:space="preserve">a to do 10 pracovních </w:t>
      </w:r>
      <w:r w:rsidRPr="00A4585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4585F">
        <w:rPr>
          <w:rFonts w:eastAsia="Arial Unicode MS"/>
          <w:lang w:eastAsia="cs-CZ"/>
        </w:rPr>
        <w:t>administrující</w:t>
      </w:r>
      <w:proofErr w:type="spellEnd"/>
      <w:r w:rsidRPr="00A4585F">
        <w:rPr>
          <w:rFonts w:eastAsia="Arial Unicode MS"/>
          <w:lang w:eastAsia="cs-CZ"/>
        </w:rPr>
        <w:t xml:space="preserve">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4654B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BFD46E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15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7227DA">
        <w:rPr>
          <w:rFonts w:eastAsia="Times New Roman"/>
          <w:bCs/>
          <w:lang w:eastAsia="cs-CZ"/>
        </w:rPr>
        <w:t xml:space="preserve">5,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</w:t>
      </w:r>
      <w:r w:rsidR="007227DA">
        <w:rPr>
          <w:rFonts w:eastAsia="Times New Roman"/>
          <w:bCs/>
          <w:lang w:eastAsia="cs-CZ"/>
        </w:rPr>
        <w:t xml:space="preserve">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824D52A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B577EA">
        <w:rPr>
          <w:rFonts w:eastAsia="Times New Roman"/>
          <w:bCs/>
          <w:lang w:eastAsia="cs-CZ"/>
        </w:rPr>
        <w:t xml:space="preserve"> 3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596C1938" w14:textId="77777777" w:rsidR="003202F9" w:rsidRPr="003202F9" w:rsidRDefault="003202F9" w:rsidP="003202F9">
      <w:pPr>
        <w:pStyle w:val="Odstavecseseznamem"/>
        <w:rPr>
          <w:rFonts w:eastAsia="Times New Roman"/>
          <w:bCs/>
          <w:lang w:eastAsia="cs-CZ"/>
        </w:rPr>
      </w:pPr>
    </w:p>
    <w:p w14:paraId="0EDD4350" w14:textId="36EE30CD" w:rsidR="003202F9" w:rsidRPr="006646DF" w:rsidRDefault="003202F9" w:rsidP="009364DE">
      <w:pPr>
        <w:pStyle w:val="Odstavecseseznamem"/>
        <w:numPr>
          <w:ilvl w:val="0"/>
          <w:numId w:val="30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D86155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15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57E5416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0E478F">
        <w:rPr>
          <w:rFonts w:eastAsia="Times New Roman"/>
          <w:b/>
          <w:bCs/>
          <w:lang w:eastAsia="cs-CZ"/>
        </w:rPr>
        <w:t>1.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 xml:space="preserve">Příjemce bere na vědomí, že je mu poskytována podpora de </w:t>
      </w:r>
      <w:proofErr w:type="spellStart"/>
      <w:r w:rsidRPr="00654C4B">
        <w:rPr>
          <w:rFonts w:eastAsia="Times New Roman"/>
          <w:lang w:eastAsia="cs-CZ"/>
        </w:rPr>
        <w:t>minimis</w:t>
      </w:r>
      <w:proofErr w:type="spellEnd"/>
      <w:r w:rsidRPr="00654C4B">
        <w:rPr>
          <w:rFonts w:eastAsia="Times New Roman"/>
          <w:lang w:eastAsia="cs-CZ"/>
        </w:rPr>
        <w:t xml:space="preserve"> (podpora malého rozsahu), a to v souladu s Nařízením Komise (ES) č. 1407/2013 ze dne 18. prosince 2013 o použití článků 107 a 108 Smlouvy o fungování Evropské unie na podporu de </w:t>
      </w:r>
      <w:proofErr w:type="spellStart"/>
      <w:r w:rsidRPr="00654C4B">
        <w:rPr>
          <w:rFonts w:eastAsia="Times New Roman"/>
          <w:lang w:eastAsia="cs-CZ"/>
        </w:rPr>
        <w:t>minimis</w:t>
      </w:r>
      <w:proofErr w:type="spellEnd"/>
      <w:r w:rsidRPr="00654C4B">
        <w:rPr>
          <w:rFonts w:eastAsia="Times New Roman"/>
          <w:lang w:eastAsia="cs-CZ"/>
        </w:rPr>
        <w:t>, publikovaném v Úředním věstníku L č.352/2013 na straně 1 (dále jen „Nařízení komise“).</w:t>
      </w:r>
    </w:p>
    <w:p w14:paraId="3A6CB991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7817C6E4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0E478F">
        <w:rPr>
          <w:rFonts w:eastAsia="Times New Roman"/>
          <w:b/>
          <w:bCs/>
          <w:lang w:eastAsia="cs-CZ"/>
        </w:rPr>
        <w:t>2.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 xml:space="preserve">Příjemce podpory prohlašuje, že v souladu s článkem 3 tohoto Nařízení komise, obdržel v předchozích 3 fiskálních letech od data účinnosti této smlouvy podporu de </w:t>
      </w:r>
      <w:proofErr w:type="spellStart"/>
      <w:r w:rsidRPr="00654C4B">
        <w:rPr>
          <w:rFonts w:eastAsia="Times New Roman"/>
          <w:lang w:eastAsia="cs-CZ"/>
        </w:rPr>
        <w:t>minimis</w:t>
      </w:r>
      <w:proofErr w:type="spellEnd"/>
      <w:r w:rsidRPr="00654C4B">
        <w:rPr>
          <w:rFonts w:eastAsia="Times New Roman"/>
          <w:lang w:eastAsia="cs-CZ"/>
        </w:rPr>
        <w:t xml:space="preserve"> a celková výše podpory de </w:t>
      </w:r>
      <w:proofErr w:type="spellStart"/>
      <w:r w:rsidRPr="00654C4B">
        <w:rPr>
          <w:rFonts w:eastAsia="Times New Roman"/>
          <w:lang w:eastAsia="cs-CZ"/>
        </w:rPr>
        <w:t>minimis</w:t>
      </w:r>
      <w:proofErr w:type="spellEnd"/>
      <w:r w:rsidRPr="00654C4B">
        <w:rPr>
          <w:rFonts w:eastAsia="Times New Roman"/>
          <w:lang w:eastAsia="cs-CZ"/>
        </w:rPr>
        <w:t>, kterou tak s poskytovanou dotací přijme, nepřesáhne 200.000 EUR.</w:t>
      </w:r>
    </w:p>
    <w:p w14:paraId="43360327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A23BF6B" w14:textId="77777777" w:rsidR="000E478F" w:rsidRPr="00654C4B" w:rsidRDefault="000E478F" w:rsidP="000E478F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0E478F">
        <w:rPr>
          <w:rFonts w:eastAsia="Times New Roman"/>
          <w:b/>
          <w:bCs/>
          <w:lang w:eastAsia="cs-CZ"/>
        </w:rPr>
        <w:t>3.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Kurz pro přepočet částky do CZK je stanovený Evropskou centrální bankou zveřejňovaný na webových stránkách ECB ke dni podpisu smlouvy.</w:t>
      </w:r>
    </w:p>
    <w:p w14:paraId="187333F4" w14:textId="77777777" w:rsidR="000E478F" w:rsidRPr="000E478F" w:rsidRDefault="000E478F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0F28AD1A" w14:textId="19C93CA0" w:rsidR="008F0B23" w:rsidRDefault="000E478F" w:rsidP="000E478F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0E478F">
        <w:rPr>
          <w:rFonts w:eastAsia="Times New Roman"/>
          <w:b/>
          <w:bCs/>
          <w:lang w:eastAsia="cs-CZ"/>
        </w:rPr>
        <w:t>4.</w:t>
      </w:r>
      <w:r w:rsidRPr="000E478F">
        <w:rPr>
          <w:rFonts w:eastAsia="Times New Roman"/>
          <w:b/>
          <w:bCs/>
          <w:lang w:eastAsia="cs-CZ"/>
        </w:rPr>
        <w:tab/>
      </w:r>
      <w:r w:rsidRPr="00654C4B">
        <w:rPr>
          <w:rFonts w:eastAsia="Times New Roman"/>
          <w:lang w:eastAsia="cs-CZ"/>
        </w:rP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15F73065" w14:textId="77777777" w:rsidR="00654C4B" w:rsidRDefault="00654C4B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4BD2528A" w14:textId="77777777" w:rsidR="00654C4B" w:rsidRPr="0096502F" w:rsidRDefault="00654C4B" w:rsidP="000E478F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lastRenderedPageBreak/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B477568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</w:t>
      </w:r>
      <w:r w:rsidR="008B5C2C">
        <w:rPr>
          <w:rFonts w:eastAsia="Times New Roman"/>
          <w:lang w:eastAsia="cs-CZ"/>
        </w:rPr>
        <w:t>í veřejn</w:t>
      </w:r>
      <w:r w:rsidR="006C5431">
        <w:rPr>
          <w:rFonts w:eastAsia="Times New Roman"/>
          <w:lang w:eastAsia="cs-CZ"/>
        </w:rPr>
        <w:t>oprávní smlouvy</w:t>
      </w:r>
      <w:r w:rsidR="008B5C2C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>rozhodlo v souladu s ustanovením §</w:t>
      </w:r>
      <w:r w:rsidR="006C5431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>36</w:t>
      </w:r>
      <w:r w:rsidR="006C5431">
        <w:rPr>
          <w:rFonts w:eastAsia="Times New Roman"/>
          <w:lang w:eastAsia="cs-CZ"/>
        </w:rPr>
        <w:t> </w:t>
      </w:r>
      <w:r w:rsidR="006C5431"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</w:t>
      </w:r>
      <w:r w:rsidR="006C5431" w:rsidRPr="00A4585F">
        <w:rPr>
          <w:rFonts w:eastAsia="Times New Roman"/>
          <w:lang w:eastAsia="cs-CZ"/>
        </w:rPr>
        <w:t>kraje usnesením</w:t>
      </w:r>
      <w:r w:rsidR="008B5C2C">
        <w:t xml:space="preserve"> </w:t>
      </w:r>
      <w:r w:rsidRPr="00A4585F">
        <w:rPr>
          <w:rFonts w:eastAsia="Times New Roman"/>
          <w:lang w:eastAsia="cs-CZ"/>
        </w:rPr>
        <w:t xml:space="preserve">č. </w:t>
      </w:r>
      <w:r w:rsidR="00B04AB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04ABA">
        <w:instrText xml:space="preserve"> FORMTEXT </w:instrText>
      </w:r>
      <w:r w:rsidR="00B04ABA">
        <w:fldChar w:fldCharType="separate"/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B04ABA">
        <w:fldChar w:fldCharType="end"/>
      </w:r>
      <w:bookmarkEnd w:id="16"/>
      <w:r w:rsidRPr="00A4585F">
        <w:rPr>
          <w:rFonts w:eastAsia="Times New Roman"/>
          <w:lang w:eastAsia="cs-CZ"/>
        </w:rPr>
        <w:t xml:space="preserve"> ze dne </w:t>
      </w:r>
      <w:r w:rsidR="00B04ABA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04ABA">
        <w:instrText xml:space="preserve"> FORMTEXT </w:instrText>
      </w:r>
      <w:r w:rsidR="00B04ABA">
        <w:fldChar w:fldCharType="separate"/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B04ABA">
        <w:fldChar w:fldCharType="end"/>
      </w:r>
      <w:bookmarkEnd w:id="17"/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62AC3FE9" w:rsidR="00907383" w:rsidRDefault="00BF6E37" w:rsidP="00AF059F">
      <w:pPr>
        <w:pStyle w:val="Odstavecseseznamem"/>
        <w:ind w:left="426"/>
        <w:rPr>
          <w:sz w:val="18"/>
          <w:szCs w:val="18"/>
        </w:rPr>
      </w:pPr>
      <w:r w:rsidRPr="00E247FE">
        <w:rPr>
          <w:rFonts w:eastAsia="Times New Roman"/>
          <w:lang w:eastAsia="cs-CZ"/>
        </w:rPr>
        <w:t>Mgr. Robert Pisár,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AF059F" w:rsidRPr="008B7D08">
        <w:rPr>
          <w:sz w:val="18"/>
          <w:szCs w:val="18"/>
        </w:rPr>
        <w:tab/>
      </w:r>
      <w:r w:rsidR="00B04ABA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04ABA">
        <w:instrText xml:space="preserve"> FORMTEXT </w:instrText>
      </w:r>
      <w:r w:rsidR="00B04ABA">
        <w:fldChar w:fldCharType="separate"/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F43320">
        <w:t> </w:t>
      </w:r>
      <w:r w:rsidR="00B04ABA">
        <w:fldChar w:fldCharType="end"/>
      </w:r>
      <w:bookmarkEnd w:id="18"/>
    </w:p>
    <w:p w14:paraId="6AB00A1B" w14:textId="4E5E1D95" w:rsidR="00AF059F" w:rsidRPr="00C36930" w:rsidRDefault="004B3A42" w:rsidP="00AF059F">
      <w:pPr>
        <w:pStyle w:val="Odstavecseseznamem"/>
        <w:ind w:left="426"/>
      </w:pPr>
      <w:r w:rsidRPr="00E247FE">
        <w:rPr>
          <w:rFonts w:eastAsia="Times New Roman"/>
          <w:bCs/>
          <w:lang w:eastAsia="cs-CZ"/>
        </w:rPr>
        <w:t>člen Rady Karlovarského kraje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</w:p>
    <w:p w14:paraId="7E808C71" w14:textId="0E6CECCE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03C54301" w14:textId="41A82F44" w:rsidR="00321EAE" w:rsidRDefault="00321EAE" w:rsidP="00AF059F">
      <w:pPr>
        <w:pStyle w:val="Odstavecseseznamem"/>
        <w:ind w:left="426"/>
      </w:pPr>
    </w:p>
    <w:p w14:paraId="2693F0FB" w14:textId="77777777" w:rsidR="00321EAE" w:rsidRDefault="00321EAE" w:rsidP="00321EA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</w:p>
    <w:p w14:paraId="1490938B" w14:textId="77777777" w:rsidR="00321EAE" w:rsidRDefault="00321EAE" w:rsidP="00321EAE">
      <w:pPr>
        <w:spacing w:after="0" w:line="240" w:lineRule="auto"/>
        <w:rPr>
          <w:rFonts w:eastAsia="Times New Roman"/>
          <w:lang w:eastAsia="cs-CZ"/>
        </w:rPr>
      </w:pPr>
    </w:p>
    <w:p w14:paraId="0979047B" w14:textId="706AFDB6" w:rsidR="00321EAE" w:rsidRDefault="00B04ABA" w:rsidP="00321EA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 w:rsidR="00F43320">
        <w:rPr>
          <w:rFonts w:eastAsia="Times New Roman"/>
          <w:lang w:eastAsia="cs-CZ"/>
        </w:rPr>
        <w:t>Lenka Mundilová</w:t>
      </w:r>
      <w:r>
        <w:rPr>
          <w:rFonts w:eastAsia="Times New Roman"/>
          <w:lang w:eastAsia="cs-CZ"/>
        </w:rPr>
        <w:fldChar w:fldCharType="end"/>
      </w:r>
      <w:bookmarkEnd w:id="19"/>
    </w:p>
    <w:p w14:paraId="02AD9304" w14:textId="77777777" w:rsidR="00321EAE" w:rsidRDefault="00321EAE" w:rsidP="00321EAE">
      <w:pPr>
        <w:pStyle w:val="Zhlav"/>
        <w:rPr>
          <w:b/>
          <w:caps/>
          <w:sz w:val="36"/>
          <w:szCs w:val="36"/>
        </w:rPr>
      </w:pPr>
    </w:p>
    <w:p w14:paraId="6C2A1C7E" w14:textId="77777777" w:rsidR="00321EAE" w:rsidRDefault="00321EAE" w:rsidP="00AF059F">
      <w:pPr>
        <w:pStyle w:val="Odstavecseseznamem"/>
        <w:ind w:left="426"/>
      </w:pPr>
    </w:p>
    <w:p w14:paraId="1F884065" w14:textId="627D9D43" w:rsidR="00300D1B" w:rsidRPr="000717F9" w:rsidRDefault="008B5C2C" w:rsidP="008B5C2C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8AB3" w14:textId="77777777" w:rsidR="009A2B15" w:rsidRDefault="009A2B15" w:rsidP="008F0B23">
      <w:pPr>
        <w:spacing w:after="0" w:line="240" w:lineRule="auto"/>
      </w:pPr>
      <w:r>
        <w:separator/>
      </w:r>
    </w:p>
  </w:endnote>
  <w:endnote w:type="continuationSeparator" w:id="0">
    <w:p w14:paraId="1139F39F" w14:textId="77777777" w:rsidR="009A2B15" w:rsidRDefault="009A2B1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121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60B53" w14:textId="0E768128" w:rsidR="00410C7A" w:rsidRDefault="00410C7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2F6983" w14:textId="77777777" w:rsidR="00410C7A" w:rsidRDefault="00410C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FAB0" w14:textId="77777777" w:rsidR="009A2B15" w:rsidRDefault="009A2B15" w:rsidP="008F0B23">
      <w:pPr>
        <w:spacing w:after="0" w:line="240" w:lineRule="auto"/>
      </w:pPr>
      <w:r>
        <w:separator/>
      </w:r>
    </w:p>
  </w:footnote>
  <w:footnote w:type="continuationSeparator" w:id="0">
    <w:p w14:paraId="2CBBAE89" w14:textId="77777777" w:rsidR="009A2B15" w:rsidRDefault="009A2B1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0F56BD4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5EB"/>
    <w:multiLevelType w:val="hybridMultilevel"/>
    <w:tmpl w:val="25545E32"/>
    <w:lvl w:ilvl="0" w:tplc="3626D1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A9C45F2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6FEC0946"/>
    <w:lvl w:ilvl="0" w:tplc="2FD20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3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1669B"/>
    <w:rsid w:val="0002214C"/>
    <w:rsid w:val="0003169F"/>
    <w:rsid w:val="00033EEB"/>
    <w:rsid w:val="0003468F"/>
    <w:rsid w:val="000362D3"/>
    <w:rsid w:val="00062252"/>
    <w:rsid w:val="0006239A"/>
    <w:rsid w:val="00063C82"/>
    <w:rsid w:val="00070912"/>
    <w:rsid w:val="000717F9"/>
    <w:rsid w:val="000858A0"/>
    <w:rsid w:val="000C12F2"/>
    <w:rsid w:val="000C76F4"/>
    <w:rsid w:val="000D37F3"/>
    <w:rsid w:val="000E478F"/>
    <w:rsid w:val="00117A22"/>
    <w:rsid w:val="0015202A"/>
    <w:rsid w:val="001817D7"/>
    <w:rsid w:val="001907C0"/>
    <w:rsid w:val="001A3CCC"/>
    <w:rsid w:val="001B423D"/>
    <w:rsid w:val="001E6EE3"/>
    <w:rsid w:val="0022087B"/>
    <w:rsid w:val="00244366"/>
    <w:rsid w:val="00247572"/>
    <w:rsid w:val="00251951"/>
    <w:rsid w:val="002525C2"/>
    <w:rsid w:val="00257BD2"/>
    <w:rsid w:val="00264624"/>
    <w:rsid w:val="00266773"/>
    <w:rsid w:val="00281566"/>
    <w:rsid w:val="0029215C"/>
    <w:rsid w:val="0029264D"/>
    <w:rsid w:val="002B64D1"/>
    <w:rsid w:val="002B67D8"/>
    <w:rsid w:val="002C3670"/>
    <w:rsid w:val="002C4092"/>
    <w:rsid w:val="002D0367"/>
    <w:rsid w:val="002D3E28"/>
    <w:rsid w:val="002E4E97"/>
    <w:rsid w:val="002F3FDE"/>
    <w:rsid w:val="00300D1B"/>
    <w:rsid w:val="003112FB"/>
    <w:rsid w:val="003202F9"/>
    <w:rsid w:val="00320C36"/>
    <w:rsid w:val="00321EAE"/>
    <w:rsid w:val="00323EBC"/>
    <w:rsid w:val="00325592"/>
    <w:rsid w:val="00345491"/>
    <w:rsid w:val="003767E2"/>
    <w:rsid w:val="00385583"/>
    <w:rsid w:val="00393659"/>
    <w:rsid w:val="003B1E79"/>
    <w:rsid w:val="003B6DE9"/>
    <w:rsid w:val="003C3CED"/>
    <w:rsid w:val="003D28B6"/>
    <w:rsid w:val="003D6BBB"/>
    <w:rsid w:val="003D7B15"/>
    <w:rsid w:val="003E2204"/>
    <w:rsid w:val="00401FF7"/>
    <w:rsid w:val="00404DE1"/>
    <w:rsid w:val="00410C7A"/>
    <w:rsid w:val="0046096F"/>
    <w:rsid w:val="004654BA"/>
    <w:rsid w:val="00476C23"/>
    <w:rsid w:val="004B3A42"/>
    <w:rsid w:val="004B7CA6"/>
    <w:rsid w:val="004C38EC"/>
    <w:rsid w:val="004D2969"/>
    <w:rsid w:val="004D2B75"/>
    <w:rsid w:val="004F3493"/>
    <w:rsid w:val="004F5509"/>
    <w:rsid w:val="005178F2"/>
    <w:rsid w:val="00517DCD"/>
    <w:rsid w:val="0054599C"/>
    <w:rsid w:val="00560154"/>
    <w:rsid w:val="005865FA"/>
    <w:rsid w:val="005A6974"/>
    <w:rsid w:val="005C4E9D"/>
    <w:rsid w:val="005C5B71"/>
    <w:rsid w:val="005C70E5"/>
    <w:rsid w:val="005D78CC"/>
    <w:rsid w:val="005E6AC0"/>
    <w:rsid w:val="00635FA5"/>
    <w:rsid w:val="00640D63"/>
    <w:rsid w:val="00654C4B"/>
    <w:rsid w:val="006646DF"/>
    <w:rsid w:val="00686ECC"/>
    <w:rsid w:val="006A6B01"/>
    <w:rsid w:val="006C53A1"/>
    <w:rsid w:val="006C5431"/>
    <w:rsid w:val="006E6DA9"/>
    <w:rsid w:val="006E77E9"/>
    <w:rsid w:val="007018CB"/>
    <w:rsid w:val="00710997"/>
    <w:rsid w:val="0071229F"/>
    <w:rsid w:val="007227DA"/>
    <w:rsid w:val="007372C9"/>
    <w:rsid w:val="0076526C"/>
    <w:rsid w:val="007924EB"/>
    <w:rsid w:val="007A26B7"/>
    <w:rsid w:val="007A68F6"/>
    <w:rsid w:val="007C116C"/>
    <w:rsid w:val="007C424F"/>
    <w:rsid w:val="008076E0"/>
    <w:rsid w:val="00815C2F"/>
    <w:rsid w:val="00820862"/>
    <w:rsid w:val="00825DDF"/>
    <w:rsid w:val="00841712"/>
    <w:rsid w:val="00843B24"/>
    <w:rsid w:val="008466C6"/>
    <w:rsid w:val="0086380E"/>
    <w:rsid w:val="008721B5"/>
    <w:rsid w:val="00893799"/>
    <w:rsid w:val="008A2F37"/>
    <w:rsid w:val="008B5C2C"/>
    <w:rsid w:val="008C6878"/>
    <w:rsid w:val="008D4B53"/>
    <w:rsid w:val="008D7418"/>
    <w:rsid w:val="008F0B23"/>
    <w:rsid w:val="008F5322"/>
    <w:rsid w:val="00907383"/>
    <w:rsid w:val="00917598"/>
    <w:rsid w:val="009364DE"/>
    <w:rsid w:val="00946EAD"/>
    <w:rsid w:val="00972169"/>
    <w:rsid w:val="009929D2"/>
    <w:rsid w:val="00995B22"/>
    <w:rsid w:val="009A2B15"/>
    <w:rsid w:val="009C5DE2"/>
    <w:rsid w:val="009C6F84"/>
    <w:rsid w:val="00A22E47"/>
    <w:rsid w:val="00A25449"/>
    <w:rsid w:val="00A4585F"/>
    <w:rsid w:val="00A46769"/>
    <w:rsid w:val="00A47F38"/>
    <w:rsid w:val="00A47F4B"/>
    <w:rsid w:val="00A562B2"/>
    <w:rsid w:val="00A65E5C"/>
    <w:rsid w:val="00AB2B75"/>
    <w:rsid w:val="00AB366A"/>
    <w:rsid w:val="00AF059F"/>
    <w:rsid w:val="00B04ABA"/>
    <w:rsid w:val="00B31D8D"/>
    <w:rsid w:val="00B577EA"/>
    <w:rsid w:val="00B65524"/>
    <w:rsid w:val="00B766F2"/>
    <w:rsid w:val="00B9701C"/>
    <w:rsid w:val="00BA0841"/>
    <w:rsid w:val="00BA0C3B"/>
    <w:rsid w:val="00BB1BD1"/>
    <w:rsid w:val="00BC1DA4"/>
    <w:rsid w:val="00BD446B"/>
    <w:rsid w:val="00BF6E37"/>
    <w:rsid w:val="00C010B5"/>
    <w:rsid w:val="00C05301"/>
    <w:rsid w:val="00C120F7"/>
    <w:rsid w:val="00C4243C"/>
    <w:rsid w:val="00C51B01"/>
    <w:rsid w:val="00C57009"/>
    <w:rsid w:val="00C60897"/>
    <w:rsid w:val="00C707E0"/>
    <w:rsid w:val="00C75871"/>
    <w:rsid w:val="00C8481B"/>
    <w:rsid w:val="00C91027"/>
    <w:rsid w:val="00C94FE8"/>
    <w:rsid w:val="00CB39FA"/>
    <w:rsid w:val="00CB66E3"/>
    <w:rsid w:val="00CB7354"/>
    <w:rsid w:val="00CC11A9"/>
    <w:rsid w:val="00CC46DE"/>
    <w:rsid w:val="00CC5635"/>
    <w:rsid w:val="00CC5732"/>
    <w:rsid w:val="00CD7089"/>
    <w:rsid w:val="00CF660D"/>
    <w:rsid w:val="00CF685F"/>
    <w:rsid w:val="00D72289"/>
    <w:rsid w:val="00D733D2"/>
    <w:rsid w:val="00D80E8F"/>
    <w:rsid w:val="00D86155"/>
    <w:rsid w:val="00D9675B"/>
    <w:rsid w:val="00D97B1A"/>
    <w:rsid w:val="00DB55D3"/>
    <w:rsid w:val="00DF5E91"/>
    <w:rsid w:val="00DF7ECE"/>
    <w:rsid w:val="00E35F29"/>
    <w:rsid w:val="00E57DCB"/>
    <w:rsid w:val="00EA3009"/>
    <w:rsid w:val="00EC488E"/>
    <w:rsid w:val="00EE5502"/>
    <w:rsid w:val="00EE76FD"/>
    <w:rsid w:val="00EF4C48"/>
    <w:rsid w:val="00EF57A1"/>
    <w:rsid w:val="00F0440D"/>
    <w:rsid w:val="00F04A51"/>
    <w:rsid w:val="00F069E7"/>
    <w:rsid w:val="00F40594"/>
    <w:rsid w:val="00F43320"/>
    <w:rsid w:val="00F54944"/>
    <w:rsid w:val="00F73D78"/>
    <w:rsid w:val="00FA04D0"/>
    <w:rsid w:val="00FA5ADA"/>
    <w:rsid w:val="00FA63A9"/>
    <w:rsid w:val="00FA79FC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4D1B-A526-4524-85EF-62DDD532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2023-09-13T08:36:00Z</dcterms:created>
  <dcterms:modified xsi:type="dcterms:W3CDTF">2023-09-13T08:36:00Z</dcterms:modified>
</cp:coreProperties>
</file>